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897" w:rsidRPr="009C541F" w:rsidRDefault="0025796B">
      <w:pPr>
        <w:pStyle w:val="Title"/>
      </w:pPr>
      <w:r w:rsidRPr="0025796B">
        <w:t>Synthesis and characterization of a green CaAl</w:t>
      </w:r>
      <w:r w:rsidRPr="0025796B">
        <w:rPr>
          <w:vertAlign w:val="subscript"/>
        </w:rPr>
        <w:t>x</w:t>
      </w:r>
      <w:r w:rsidRPr="0025796B">
        <w:t>O</w:t>
      </w:r>
      <w:r w:rsidRPr="0025796B">
        <w:rPr>
          <w:vertAlign w:val="subscript"/>
        </w:rPr>
        <w:t>y</w:t>
      </w:r>
      <w:proofErr w:type="gramStart"/>
      <w:r w:rsidRPr="0025796B">
        <w:t>:Tb</w:t>
      </w:r>
      <w:r w:rsidRPr="0025796B">
        <w:rPr>
          <w:vertAlign w:val="superscript"/>
        </w:rPr>
        <w:t>3</w:t>
      </w:r>
      <w:proofErr w:type="gramEnd"/>
      <w:r w:rsidRPr="0025796B">
        <w:rPr>
          <w:vertAlign w:val="superscript"/>
        </w:rPr>
        <w:t xml:space="preserve">+ </w:t>
      </w:r>
      <w:r w:rsidRPr="0025796B">
        <w:t>phosphor using solution combustion method</w:t>
      </w:r>
    </w:p>
    <w:p w:rsidR="00B51897" w:rsidRDefault="0025796B">
      <w:pPr>
        <w:pStyle w:val="Authors"/>
      </w:pPr>
      <w:r w:rsidRPr="0025796B">
        <w:t xml:space="preserve"> K.E </w:t>
      </w:r>
      <w:proofErr w:type="spellStart"/>
      <w:r w:rsidRPr="0025796B">
        <w:t>Foka</w:t>
      </w:r>
      <w:r w:rsidRPr="0025796B">
        <w:rPr>
          <w:vertAlign w:val="superscript"/>
        </w:rPr>
        <w:t>a</w:t>
      </w:r>
      <w:proofErr w:type="spellEnd"/>
      <w:r w:rsidRPr="0025796B">
        <w:t xml:space="preserve">*, F.B </w:t>
      </w:r>
      <w:proofErr w:type="spellStart"/>
      <w:r w:rsidRPr="0025796B">
        <w:t>Dejene</w:t>
      </w:r>
      <w:r w:rsidRPr="0025796B">
        <w:rPr>
          <w:vertAlign w:val="superscript"/>
        </w:rPr>
        <w:t>a</w:t>
      </w:r>
      <w:proofErr w:type="spellEnd"/>
      <w:r w:rsidRPr="0025796B">
        <w:t xml:space="preserve">* and H.C </w:t>
      </w:r>
      <w:proofErr w:type="spellStart"/>
      <w:r w:rsidRPr="0025796B">
        <w:t>Swart</w:t>
      </w:r>
      <w:r w:rsidRPr="0025796B">
        <w:rPr>
          <w:vertAlign w:val="superscript"/>
        </w:rPr>
        <w:t>b</w:t>
      </w:r>
      <w:proofErr w:type="spellEnd"/>
    </w:p>
    <w:p w:rsidR="0025796B" w:rsidRDefault="0025796B" w:rsidP="0025796B">
      <w:pPr>
        <w:pStyle w:val="Addresses"/>
      </w:pPr>
      <w:r w:rsidRPr="0025796B">
        <w:t xml:space="preserve"> </w:t>
      </w:r>
      <w:proofErr w:type="spellStart"/>
      <w:r w:rsidRPr="0025796B">
        <w:rPr>
          <w:vertAlign w:val="superscript"/>
        </w:rPr>
        <w:t>a</w:t>
      </w:r>
      <w:r>
        <w:t>Physics</w:t>
      </w:r>
      <w:proofErr w:type="spellEnd"/>
      <w:r>
        <w:t xml:space="preserve"> Department, University of the Free State (</w:t>
      </w:r>
      <w:proofErr w:type="spellStart"/>
      <w:r>
        <w:t>Qwqwa</w:t>
      </w:r>
      <w:proofErr w:type="spellEnd"/>
      <w:r>
        <w:t xml:space="preserve"> Campus), Private Bag x13, </w:t>
      </w:r>
      <w:proofErr w:type="spellStart"/>
      <w:r>
        <w:t>Phuthaditjhaba</w:t>
      </w:r>
      <w:proofErr w:type="spellEnd"/>
      <w:r>
        <w:t>, 9866, South Africa</w:t>
      </w:r>
    </w:p>
    <w:p w:rsidR="00B51897" w:rsidRDefault="0025796B" w:rsidP="0025796B">
      <w:pPr>
        <w:pStyle w:val="Addresses"/>
      </w:pPr>
      <w:proofErr w:type="spellStart"/>
      <w:proofErr w:type="gramStart"/>
      <w:r w:rsidRPr="0025796B">
        <w:rPr>
          <w:vertAlign w:val="superscript"/>
        </w:rPr>
        <w:t>b</w:t>
      </w:r>
      <w:r>
        <w:t>Physics</w:t>
      </w:r>
      <w:proofErr w:type="spellEnd"/>
      <w:proofErr w:type="gramEnd"/>
      <w:r>
        <w:t xml:space="preserve"> Department, University of the Free State, P.O. Box 339, Bloemfontein, 9300, South Africa</w:t>
      </w:r>
    </w:p>
    <w:p w:rsidR="00B51897" w:rsidRDefault="0025796B">
      <w:pPr>
        <w:pStyle w:val="E-mail"/>
      </w:pPr>
      <w:r w:rsidRPr="0025796B">
        <w:t>* Corresponding author:  E-mail: dejenebf@ufs.ac.za</w:t>
      </w:r>
    </w:p>
    <w:p w:rsidR="00B51897" w:rsidRPr="0025796B" w:rsidRDefault="0025796B">
      <w:pPr>
        <w:pStyle w:val="Abstract"/>
      </w:pPr>
      <w:r w:rsidRPr="0025796B">
        <w:rPr>
          <w:b/>
        </w:rPr>
        <w:t xml:space="preserve">Abstract.  </w:t>
      </w:r>
      <w:r w:rsidRPr="0025796B">
        <w:t>CaAl</w:t>
      </w:r>
      <w:r w:rsidRPr="0025796B">
        <w:rPr>
          <w:vertAlign w:val="subscript"/>
        </w:rPr>
        <w:t>x</w:t>
      </w:r>
      <w:r w:rsidRPr="0025796B">
        <w:t>O</w:t>
      </w:r>
      <w:r w:rsidRPr="0025796B">
        <w:rPr>
          <w:vertAlign w:val="subscript"/>
        </w:rPr>
        <w:t>y</w:t>
      </w:r>
      <w:proofErr w:type="gramStart"/>
      <w:r w:rsidRPr="0025796B">
        <w:t>:Tb</w:t>
      </w:r>
      <w:r w:rsidRPr="0025796B">
        <w:rPr>
          <w:vertAlign w:val="superscript"/>
        </w:rPr>
        <w:t>3</w:t>
      </w:r>
      <w:proofErr w:type="gramEnd"/>
      <w:r w:rsidRPr="0025796B">
        <w:rPr>
          <w:vertAlign w:val="superscript"/>
        </w:rPr>
        <w:t xml:space="preserve">+ </w:t>
      </w:r>
      <w:r w:rsidRPr="0025796B">
        <w:t>green phosphors were obtained at low temperature (500</w:t>
      </w:r>
      <w:r>
        <w:t xml:space="preserve"> </w:t>
      </w:r>
      <w:r w:rsidRPr="0025796B">
        <w:rPr>
          <w:vertAlign w:val="superscript"/>
        </w:rPr>
        <w:t>0</w:t>
      </w:r>
      <w:r w:rsidRPr="0025796B">
        <w:t>C) by a solution- combustion method. The morphology and structural properties were characterized by scanning electron microscopy (SEM) and X-ray diffraction (XRD), and the structural analysis revealed the presence of both CaAl</w:t>
      </w:r>
      <w:r w:rsidRPr="0025796B">
        <w:rPr>
          <w:vertAlign w:val="subscript"/>
        </w:rPr>
        <w:t>4</w:t>
      </w:r>
      <w:r w:rsidRPr="0025796B">
        <w:t>O</w:t>
      </w:r>
      <w:r w:rsidRPr="0025796B">
        <w:rPr>
          <w:vertAlign w:val="subscript"/>
        </w:rPr>
        <w:t>7</w:t>
      </w:r>
      <w:r w:rsidRPr="0025796B">
        <w:t xml:space="preserve"> and CaAl</w:t>
      </w:r>
      <w:r w:rsidRPr="0025796B">
        <w:rPr>
          <w:vertAlign w:val="subscript"/>
        </w:rPr>
        <w:t>2</w:t>
      </w:r>
      <w:r w:rsidRPr="0025796B">
        <w:t>O</w:t>
      </w:r>
      <w:r w:rsidRPr="0025796B">
        <w:rPr>
          <w:vertAlign w:val="subscript"/>
        </w:rPr>
        <w:t>4</w:t>
      </w:r>
      <w:r w:rsidRPr="0025796B">
        <w:t xml:space="preserve"> monoclinic. The characteristic luminescence properties were investigated using emission spectra. The optimal intensity was obtained when the concentration of Tb3+ was increased to 2 mol%.</w:t>
      </w:r>
      <w:r w:rsidR="00AC278A" w:rsidRPr="0025796B">
        <w:t xml:space="preserve">   </w:t>
      </w:r>
    </w:p>
    <w:p w:rsidR="00B51897" w:rsidRDefault="00AC278A">
      <w:pPr>
        <w:pStyle w:val="Section"/>
      </w:pPr>
      <w:r>
        <w:t>Introduction</w:t>
      </w:r>
    </w:p>
    <w:p w:rsidR="00B51897" w:rsidRDefault="0025796B" w:rsidP="0025796B">
      <w:pPr>
        <w:jc w:val="both"/>
      </w:pPr>
      <w:r w:rsidRPr="0025796B">
        <w:t>Long lasting phosphor can be used as a type of energy storing material, which can absorb the visible light, store the energy, and then release energy as visible light which lead to a long persistence afterglow in darkness [1, 2]. Afterglow phosphors have attracted considerable attention due to their potential application in various fields, including emergency signs, light sources, luminous paints, Optical data storage and dial plates of glow watches, etc. [3, 4]. Among various host matrix materials, aluminates are considered to possess high energy efficiency in a wide excitation wavelength range and a high quenching temperature range [5].  The CaAl</w:t>
      </w:r>
      <w:r w:rsidRPr="0025796B">
        <w:rPr>
          <w:vertAlign w:val="subscript"/>
        </w:rPr>
        <w:t>2</w:t>
      </w:r>
      <w:r w:rsidRPr="0025796B">
        <w:t>O</w:t>
      </w:r>
      <w:r w:rsidRPr="0025796B">
        <w:rPr>
          <w:vertAlign w:val="subscript"/>
        </w:rPr>
        <w:t>4</w:t>
      </w:r>
      <w:r w:rsidRPr="0025796B">
        <w:t xml:space="preserve"> host belongs to the stuffed </w:t>
      </w:r>
      <w:proofErr w:type="spellStart"/>
      <w:r w:rsidRPr="0025796B">
        <w:t>tridymite</w:t>
      </w:r>
      <w:proofErr w:type="spellEnd"/>
      <w:r w:rsidRPr="0025796B">
        <w:t xml:space="preserve"> structure and the framework consists of AlO</w:t>
      </w:r>
      <w:r w:rsidRPr="0025796B">
        <w:rPr>
          <w:vertAlign w:val="subscript"/>
        </w:rPr>
        <w:t xml:space="preserve">4 </w:t>
      </w:r>
      <w:proofErr w:type="spellStart"/>
      <w:r w:rsidRPr="0025796B">
        <w:t>tetrahedras</w:t>
      </w:r>
      <w:proofErr w:type="spellEnd"/>
      <w:r w:rsidRPr="0025796B">
        <w:t>, with Ca</w:t>
      </w:r>
      <w:r w:rsidRPr="0025796B">
        <w:rPr>
          <w:vertAlign w:val="superscript"/>
        </w:rPr>
        <w:t>2+</w:t>
      </w:r>
      <w:r w:rsidRPr="0025796B">
        <w:t xml:space="preserve"> ions in the cavities to balance the charge [6]. Terbium is one of the most widely use rare earth ion which emits strongly in the green region. The Tb</w:t>
      </w:r>
      <w:r w:rsidRPr="0025796B">
        <w:rPr>
          <w:vertAlign w:val="superscript"/>
        </w:rPr>
        <w:t>3+</w:t>
      </w:r>
      <w:r w:rsidRPr="0025796B">
        <w:t xml:space="preserve"> ions luminescence under UV excitation usually consists of four main emission bands around 490, 545, 580 and 620 nm [1]. Compared with other synthesizing methods, like Solid state reaction, Sol-gel technique, Microwave heating techniques, etc. the combustion method is very simple, safe, energy saving and takes only a few minutes [7,8] to prepare. In this study, we report on the synthesis and characterization of the phosphor calcium </w:t>
      </w:r>
      <w:proofErr w:type="spellStart"/>
      <w:r w:rsidRPr="0025796B">
        <w:t>aluminate</w:t>
      </w:r>
      <w:proofErr w:type="spellEnd"/>
      <w:r w:rsidRPr="0025796B">
        <w:t xml:space="preserve"> activated with different concentration of Tb</w:t>
      </w:r>
      <w:r w:rsidRPr="0025796B">
        <w:rPr>
          <w:vertAlign w:val="superscript"/>
        </w:rPr>
        <w:t>3+</w:t>
      </w:r>
      <w:r w:rsidRPr="0025796B">
        <w:t xml:space="preserve"> ions that was prepared with the solution combustion method.</w:t>
      </w:r>
    </w:p>
    <w:p w:rsidR="00B51897" w:rsidRDefault="00C85FC1" w:rsidP="00C85FC1">
      <w:pPr>
        <w:pStyle w:val="Section"/>
      </w:pPr>
      <w:r>
        <w:t>Experimental</w:t>
      </w:r>
      <w:r w:rsidR="0025796B">
        <w:t xml:space="preserve"> procedure</w:t>
      </w:r>
    </w:p>
    <w:p w:rsidR="00C85FC1" w:rsidRPr="00C85FC1" w:rsidRDefault="0025796B" w:rsidP="00C85FC1">
      <w:pPr>
        <w:pStyle w:val="BodytextIndented"/>
        <w:ind w:firstLine="0"/>
      </w:pPr>
      <w:r w:rsidRPr="0025796B">
        <w:t>Tb</w:t>
      </w:r>
      <w:r w:rsidRPr="0025796B">
        <w:rPr>
          <w:vertAlign w:val="superscript"/>
        </w:rPr>
        <w:t>3+</w:t>
      </w:r>
      <w:r w:rsidRPr="0025796B">
        <w:t xml:space="preserve"> doped </w:t>
      </w:r>
      <w:proofErr w:type="spellStart"/>
      <w:r w:rsidRPr="0025796B">
        <w:t>CaAl</w:t>
      </w:r>
      <w:r w:rsidRPr="0025796B">
        <w:rPr>
          <w:vertAlign w:val="subscript"/>
        </w:rPr>
        <w:t>x</w:t>
      </w:r>
      <w:r w:rsidRPr="0025796B">
        <w:t>O</w:t>
      </w:r>
      <w:r w:rsidRPr="0025796B">
        <w:rPr>
          <w:vertAlign w:val="subscript"/>
        </w:rPr>
        <w:t>y</w:t>
      </w:r>
      <w:proofErr w:type="spellEnd"/>
      <w:r w:rsidRPr="0025796B">
        <w:t xml:space="preserve"> phosphor was prepared by the solution combustion method. The </w:t>
      </w:r>
      <w:proofErr w:type="gramStart"/>
      <w:r w:rsidRPr="0025796B">
        <w:t>Ca(</w:t>
      </w:r>
      <w:proofErr w:type="gramEnd"/>
      <w:r w:rsidRPr="0025796B">
        <w:t>NO</w:t>
      </w:r>
      <w:r w:rsidRPr="0025796B">
        <w:rPr>
          <w:vertAlign w:val="subscript"/>
        </w:rPr>
        <w:t>3</w:t>
      </w:r>
      <w:r w:rsidRPr="0025796B">
        <w:t>)</w:t>
      </w:r>
      <w:r w:rsidRPr="0025796B">
        <w:rPr>
          <w:vertAlign w:val="subscript"/>
        </w:rPr>
        <w:t>2</w:t>
      </w:r>
      <w:r w:rsidRPr="0025796B">
        <w:t>.4H</w:t>
      </w:r>
      <w:r w:rsidRPr="0025796B">
        <w:rPr>
          <w:vertAlign w:val="subscript"/>
        </w:rPr>
        <w:t>2</w:t>
      </w:r>
      <w:r w:rsidRPr="0025796B">
        <w:t>O, Al(NO</w:t>
      </w:r>
      <w:r w:rsidRPr="0025796B">
        <w:rPr>
          <w:vertAlign w:val="subscript"/>
        </w:rPr>
        <w:t>3</w:t>
      </w:r>
      <w:r w:rsidRPr="0025796B">
        <w:t>)</w:t>
      </w:r>
      <w:r w:rsidRPr="0025796B">
        <w:rPr>
          <w:vertAlign w:val="subscript"/>
        </w:rPr>
        <w:t>3</w:t>
      </w:r>
      <w:r w:rsidRPr="0025796B">
        <w:t>.9H</w:t>
      </w:r>
      <w:r w:rsidRPr="0025796B">
        <w:rPr>
          <w:vertAlign w:val="subscript"/>
        </w:rPr>
        <w:t>2</w:t>
      </w:r>
      <w:r w:rsidRPr="0025796B">
        <w:t>O,  Tb(NO</w:t>
      </w:r>
      <w:r w:rsidRPr="0025796B">
        <w:rPr>
          <w:vertAlign w:val="subscript"/>
        </w:rPr>
        <w:t>3</w:t>
      </w:r>
      <w:r w:rsidRPr="0025796B">
        <w:t>)</w:t>
      </w:r>
      <w:r w:rsidRPr="0025796B">
        <w:rPr>
          <w:vertAlign w:val="subscript"/>
        </w:rPr>
        <w:t>3</w:t>
      </w:r>
      <w:r w:rsidRPr="0025796B">
        <w:t>.6H</w:t>
      </w:r>
      <w:r w:rsidRPr="0025796B">
        <w:rPr>
          <w:vertAlign w:val="subscript"/>
        </w:rPr>
        <w:t>2</w:t>
      </w:r>
      <w:r w:rsidRPr="0025796B">
        <w:t>O, and CO(NH</w:t>
      </w:r>
      <w:r w:rsidRPr="0025796B">
        <w:rPr>
          <w:vertAlign w:val="subscript"/>
        </w:rPr>
        <w:t>2</w:t>
      </w:r>
      <w:r w:rsidRPr="0025796B">
        <w:t>)</w:t>
      </w:r>
      <w:r w:rsidRPr="0025796B">
        <w:rPr>
          <w:vertAlign w:val="subscript"/>
        </w:rPr>
        <w:t>2</w:t>
      </w:r>
      <w:r w:rsidRPr="0025796B">
        <w:t xml:space="preserve"> were taken as starting materials and were dissolved in  5ml of </w:t>
      </w:r>
      <w:proofErr w:type="spellStart"/>
      <w:r w:rsidRPr="0025796B">
        <w:t>deionized</w:t>
      </w:r>
      <w:proofErr w:type="spellEnd"/>
      <w:r w:rsidRPr="0025796B">
        <w:t xml:space="preserve"> water and  stirred for 30 minutes. The doping concentrations of the Tb</w:t>
      </w:r>
      <w:r w:rsidRPr="0025796B">
        <w:rPr>
          <w:vertAlign w:val="superscript"/>
        </w:rPr>
        <w:t>3+</w:t>
      </w:r>
      <w:r w:rsidRPr="0025796B">
        <w:t xml:space="preserve"> ions were 0.25, 0.4, 0.5, 1, 1.5, 2 mol%, respectively. After stirring, the transparent solution was taken into a muffle furnace maintained at a temperature of 500 </w:t>
      </w:r>
      <w:r w:rsidRPr="0025796B">
        <w:rPr>
          <w:vertAlign w:val="superscript"/>
        </w:rPr>
        <w:t>0</w:t>
      </w:r>
      <w:r w:rsidRPr="0025796B">
        <w:t xml:space="preserve">C. The solution boiled and underwent dehydration, </w:t>
      </w:r>
      <w:r w:rsidRPr="0025796B">
        <w:lastRenderedPageBreak/>
        <w:t xml:space="preserve">followed by decomposition with the escape of large amount of gasses (oxides of carbon, nitrogen and ammonia) and then a white foamy and voluminous ash was produced. The whole process was over within less than 5 min, after the product was cooled to room temperature. The foamy powder was crushed into a powder using a pestle mortar and the obtained white powder was used for characterization. The techniques used for characterization were X-ray diffraction (XRD), Scanning electron microscope (SEM), Energy dispersive spectroscopy (EDS) and Photoluminescence (PL). </w:t>
      </w:r>
      <w:r w:rsidR="00C85FC1" w:rsidRPr="00C85FC1">
        <w:t xml:space="preserve"> </w:t>
      </w:r>
    </w:p>
    <w:p w:rsidR="00C85FC1" w:rsidRDefault="00C85FC1" w:rsidP="00D72075">
      <w:pPr>
        <w:pStyle w:val="Section"/>
      </w:pPr>
      <w:r>
        <w:t>Results and Discussion</w:t>
      </w:r>
    </w:p>
    <w:p w:rsidR="00C85FC1" w:rsidRPr="009F3E4E" w:rsidRDefault="009F3E4E" w:rsidP="009F3E4E">
      <w:pPr>
        <w:pStyle w:val="Section"/>
        <w:numPr>
          <w:ilvl w:val="0"/>
          <w:numId w:val="0"/>
        </w:numPr>
        <w:rPr>
          <w:b w:val="0"/>
          <w:i/>
        </w:rPr>
      </w:pPr>
      <w:r w:rsidRPr="009F3E4E">
        <w:rPr>
          <w:b w:val="0"/>
          <w:i/>
        </w:rPr>
        <w:t>3.1 X-ray diffraction and morphology of the sample</w:t>
      </w:r>
    </w:p>
    <w:p w:rsidR="00C85FC1" w:rsidRDefault="00E84B92" w:rsidP="0025796B">
      <w:pPr>
        <w:jc w:val="both"/>
      </w:pPr>
      <w:r w:rsidRPr="00E84B92">
        <w:t xml:space="preserve">The XRD of the </w:t>
      </w:r>
      <w:proofErr w:type="spellStart"/>
      <w:r w:rsidRPr="00E84B92">
        <w:t>CaAl</w:t>
      </w:r>
      <w:r w:rsidRPr="00E84B92">
        <w:rPr>
          <w:vertAlign w:val="subscript"/>
        </w:rPr>
        <w:t>x</w:t>
      </w:r>
      <w:r w:rsidRPr="00E84B92">
        <w:t>O</w:t>
      </w:r>
      <w:r w:rsidRPr="00E84B92">
        <w:rPr>
          <w:vertAlign w:val="subscript"/>
        </w:rPr>
        <w:t>y</w:t>
      </w:r>
      <w:proofErr w:type="spellEnd"/>
      <w:r w:rsidRPr="00E84B92">
        <w:t xml:space="preserve"> host phosphor doped with different concentration of Tb</w:t>
      </w:r>
      <w:r w:rsidRPr="00E84B92">
        <w:rPr>
          <w:vertAlign w:val="superscript"/>
        </w:rPr>
        <w:t>3+</w:t>
      </w:r>
      <w:r w:rsidRPr="00E84B92">
        <w:t xml:space="preserve"> are shown in Fig.</w:t>
      </w:r>
      <w:r w:rsidR="009F3E4E">
        <w:t xml:space="preserve"> </w:t>
      </w:r>
      <w:r w:rsidRPr="00E84B92">
        <w:t xml:space="preserve"> 1.The XRD peaks revealed both the CaAl</w:t>
      </w:r>
      <w:r w:rsidRPr="00E84B92">
        <w:rPr>
          <w:vertAlign w:val="subscript"/>
        </w:rPr>
        <w:t>2</w:t>
      </w:r>
      <w:r w:rsidRPr="00E84B92">
        <w:t>O</w:t>
      </w:r>
      <w:r w:rsidRPr="00E84B92">
        <w:rPr>
          <w:vertAlign w:val="subscript"/>
        </w:rPr>
        <w:t>4</w:t>
      </w:r>
      <w:r w:rsidRPr="00E84B92">
        <w:t xml:space="preserve"> monoclinic (JCPDS) card number 70-0134 and CaAl</w:t>
      </w:r>
      <w:r w:rsidRPr="00E84B92">
        <w:rPr>
          <w:vertAlign w:val="subscript"/>
        </w:rPr>
        <w:t>4</w:t>
      </w:r>
      <w:r w:rsidRPr="00E84B92">
        <w:t>O</w:t>
      </w:r>
      <w:r w:rsidRPr="00E84B92">
        <w:rPr>
          <w:vertAlign w:val="subscript"/>
        </w:rPr>
        <w:t>7</w:t>
      </w:r>
      <w:r w:rsidRPr="00E84B92">
        <w:t xml:space="preserve"> monoclinic (JCPDS) card number 74-1467 structure. The doping of the different concentration of Tb</w:t>
      </w:r>
      <w:r w:rsidRPr="00E84B92">
        <w:rPr>
          <w:vertAlign w:val="superscript"/>
        </w:rPr>
        <w:t>3+</w:t>
      </w:r>
      <w:r w:rsidRPr="00E84B92">
        <w:t xml:space="preserve"> ions on the host did not cause any significant change in the structure. Fig.2 shows the SEM images of CaAl</w:t>
      </w:r>
      <w:r w:rsidRPr="00E84B92">
        <w:rPr>
          <w:vertAlign w:val="subscript"/>
        </w:rPr>
        <w:t>x</w:t>
      </w:r>
      <w:r w:rsidRPr="00E84B92">
        <w:t>O</w:t>
      </w:r>
      <w:r w:rsidRPr="00E84B92">
        <w:rPr>
          <w:vertAlign w:val="subscript"/>
        </w:rPr>
        <w:t>y</w:t>
      </w:r>
      <w:proofErr w:type="gramStart"/>
      <w:r w:rsidRPr="00E84B92">
        <w:t>:Tb</w:t>
      </w:r>
      <w:r w:rsidRPr="00E84B92">
        <w:rPr>
          <w:vertAlign w:val="superscript"/>
        </w:rPr>
        <w:t>3</w:t>
      </w:r>
      <w:proofErr w:type="gramEnd"/>
      <w:r w:rsidRPr="00E84B92">
        <w:rPr>
          <w:vertAlign w:val="superscript"/>
        </w:rPr>
        <w:t>+</w:t>
      </w:r>
      <w:r w:rsidRPr="00E84B92">
        <w:t xml:space="preserve"> with a 2 and 1.5 mol% concentration of Tb</w:t>
      </w:r>
      <w:r w:rsidRPr="00E84B92">
        <w:rPr>
          <w:vertAlign w:val="superscript"/>
        </w:rPr>
        <w:t>3+</w:t>
      </w:r>
      <w:r w:rsidRPr="00E84B92">
        <w:t xml:space="preserve"> ions.  The surface aspect of the particles is found to be </w:t>
      </w:r>
      <w:proofErr w:type="spellStart"/>
      <w:r w:rsidRPr="00E84B92">
        <w:t>nonspherical</w:t>
      </w:r>
      <w:proofErr w:type="spellEnd"/>
      <w:r w:rsidRPr="00E84B92">
        <w:t xml:space="preserve"> and irregular. It was observed that the different concentration of the Tb ions have no effect on the morphology of the samples.</w:t>
      </w:r>
    </w:p>
    <w:p w:rsidR="00E84B92" w:rsidRDefault="00FC2AEB" w:rsidP="00E84B92">
      <w:pPr>
        <w:jc w:val="center"/>
        <w:rPr>
          <w:rFonts w:cs="Times"/>
        </w:rPr>
      </w:pPr>
      <w:r>
        <w:rPr>
          <w:rFonts w:cs="Times"/>
          <w:noProof/>
          <w:lang w:val="en-ZA" w:eastAsia="en-ZA"/>
        </w:rPr>
        <w:drawing>
          <wp:inline distT="0" distB="0" distL="0" distR="0">
            <wp:extent cx="4219575" cy="3714750"/>
            <wp:effectExtent l="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7"/>
                    <a:srcRect/>
                    <a:stretch>
                      <a:fillRect/>
                    </a:stretch>
                  </pic:blipFill>
                  <pic:spPr bwMode="auto">
                    <a:xfrm>
                      <a:off x="0" y="0"/>
                      <a:ext cx="4219575" cy="3714750"/>
                    </a:xfrm>
                    <a:prstGeom prst="rect">
                      <a:avLst/>
                    </a:prstGeom>
                    <a:noFill/>
                    <a:ln w="9525">
                      <a:noFill/>
                      <a:miter lim="800000"/>
                      <a:headEnd/>
                      <a:tailEnd/>
                    </a:ln>
                  </pic:spPr>
                </pic:pic>
              </a:graphicData>
            </a:graphic>
          </wp:inline>
        </w:drawing>
      </w:r>
    </w:p>
    <w:p w:rsidR="00E84B92" w:rsidRDefault="0033029C" w:rsidP="0025796B">
      <w:pPr>
        <w:jc w:val="both"/>
      </w:pPr>
      <w:r>
        <w:rPr>
          <w:noProof/>
          <w:lang w:val="en-ZA" w:eastAsia="en-ZA"/>
        </w:rPr>
        <w:pict>
          <v:shapetype id="_x0000_t202" coordsize="21600,21600" o:spt="202" path="m,l,21600r21600,l21600,xe">
            <v:stroke joinstyle="miter"/>
            <v:path gradientshapeok="t" o:connecttype="rect"/>
          </v:shapetype>
          <v:shape id="_x0000_s1033" type="#_x0000_t202" style="position:absolute;left:0;text-align:left;margin-left:3.35pt;margin-top:4.55pt;width:417pt;height:27pt;z-index:251653632;mso-width-relative:margin;mso-height-relative:margin" strokecolor="white">
            <v:textbox style="mso-next-textbox:#_x0000_s1033">
              <w:txbxContent>
                <w:p w:rsidR="00E84B92" w:rsidRPr="00732B07" w:rsidRDefault="00E84B92" w:rsidP="00E84B92">
                  <w:pPr>
                    <w:rPr>
                      <w:rFonts w:cs="Times"/>
                    </w:rPr>
                  </w:pPr>
                  <w:r w:rsidRPr="00C1763D">
                    <w:rPr>
                      <w:rFonts w:cs="Times"/>
                      <w:b/>
                    </w:rPr>
                    <w:t>Fig</w:t>
                  </w:r>
                  <w:r w:rsidR="009C2B5F">
                    <w:rPr>
                      <w:rFonts w:cs="Times"/>
                      <w:b/>
                    </w:rPr>
                    <w:t>ure 1:</w:t>
                  </w:r>
                  <w:r>
                    <w:rPr>
                      <w:rFonts w:cs="Times"/>
                      <w:b/>
                    </w:rPr>
                    <w:t xml:space="preserve"> </w:t>
                  </w:r>
                  <w:r w:rsidRPr="00732B07">
                    <w:rPr>
                      <w:rFonts w:cs="Times"/>
                    </w:rPr>
                    <w:t xml:space="preserve"> X-ray diffraction patterns of </w:t>
                  </w:r>
                  <w:proofErr w:type="spellStart"/>
                  <w:r w:rsidRPr="00732B07">
                    <w:rPr>
                      <w:rFonts w:cs="Times"/>
                    </w:rPr>
                    <w:t>CaAl</w:t>
                  </w:r>
                  <w:r>
                    <w:rPr>
                      <w:rFonts w:cs="Times"/>
                      <w:vertAlign w:val="subscript"/>
                    </w:rPr>
                    <w:t>x</w:t>
                  </w:r>
                  <w:r w:rsidRPr="00732B07">
                    <w:rPr>
                      <w:rFonts w:cs="Times"/>
                    </w:rPr>
                    <w:t>O</w:t>
                  </w:r>
                  <w:r>
                    <w:rPr>
                      <w:rFonts w:cs="Times"/>
                      <w:vertAlign w:val="subscript"/>
                    </w:rPr>
                    <w:t>y</w:t>
                  </w:r>
                  <w:proofErr w:type="spellEnd"/>
                  <w:r w:rsidRPr="00732B07">
                    <w:rPr>
                      <w:rFonts w:cs="Times"/>
                    </w:rPr>
                    <w:t xml:space="preserve"> with different concentration of Tb</w:t>
                  </w:r>
                  <w:r w:rsidRPr="00732B07">
                    <w:rPr>
                      <w:rFonts w:cs="Times"/>
                      <w:vertAlign w:val="superscript"/>
                    </w:rPr>
                    <w:t>3+</w:t>
                  </w:r>
                  <w:r w:rsidRPr="00732B07">
                    <w:rPr>
                      <w:rFonts w:cs="Times"/>
                    </w:rPr>
                    <w:t xml:space="preserve"> ions.</w:t>
                  </w:r>
                </w:p>
                <w:p w:rsidR="00E84B92" w:rsidRDefault="00E84B92" w:rsidP="00E84B92"/>
              </w:txbxContent>
            </v:textbox>
          </v:shape>
        </w:pict>
      </w:r>
    </w:p>
    <w:p w:rsidR="00E84B92" w:rsidRDefault="00E84B92" w:rsidP="0025796B">
      <w:pPr>
        <w:jc w:val="both"/>
      </w:pPr>
    </w:p>
    <w:p w:rsidR="00E84B92" w:rsidRDefault="00E84B92" w:rsidP="0025796B">
      <w:pPr>
        <w:jc w:val="both"/>
      </w:pPr>
    </w:p>
    <w:p w:rsidR="00E84B92" w:rsidRDefault="00E84B92" w:rsidP="0025796B">
      <w:pPr>
        <w:jc w:val="both"/>
      </w:pPr>
    </w:p>
    <w:p w:rsidR="00E84B92" w:rsidRDefault="00E84B92" w:rsidP="00E84B92">
      <w:pPr>
        <w:jc w:val="center"/>
      </w:pPr>
    </w:p>
    <w:p w:rsidR="006A5C9F" w:rsidRDefault="0033029C" w:rsidP="006A5C9F">
      <w:pPr>
        <w:rPr>
          <w:noProof/>
          <w:lang w:val="en-ZA" w:eastAsia="en-ZA"/>
        </w:rPr>
      </w:pPr>
      <w:r>
        <w:rPr>
          <w:noProof/>
          <w:lang w:val="en-ZA" w:eastAsia="en-ZA"/>
        </w:rPr>
        <w:lastRenderedPageBreak/>
        <w:pict>
          <v:shape id="_x0000_s1035" type="#_x0000_t202" style="position:absolute;margin-left:3.8pt;margin-top:.8pt;width:34.05pt;height:25pt;z-index:251655680;mso-width-relative:margin;mso-height-relative:margin" strokecolor="white">
            <v:textbox style="mso-next-textbox:#_x0000_s1035">
              <w:txbxContent>
                <w:p w:rsidR="00E84B92" w:rsidRDefault="00E84B92" w:rsidP="00E84B92">
                  <w:r>
                    <w:t>(a)</w:t>
                  </w:r>
                </w:p>
              </w:txbxContent>
            </v:textbox>
          </v:shape>
        </w:pict>
      </w:r>
      <w:r w:rsidRPr="0033029C">
        <w:rPr>
          <w:noProof/>
          <w:lang w:val="en-US" w:eastAsia="zh-TW" w:bidi="en-US"/>
        </w:rPr>
        <w:pict>
          <v:shape id="_x0000_s1034" type="#_x0000_t202" style="position:absolute;margin-left:230.9pt;margin-top:-2.95pt;width:31.2pt;height:25pt;z-index:251654656;mso-width-relative:margin;mso-height-relative:margin" strokecolor="white">
            <v:textbox style="mso-next-textbox:#_x0000_s1034">
              <w:txbxContent>
                <w:p w:rsidR="00E84B92" w:rsidRDefault="00E84B92" w:rsidP="00E84B92">
                  <w:r>
                    <w:t>(b)</w:t>
                  </w:r>
                </w:p>
                <w:p w:rsidR="00E84B92" w:rsidRDefault="00E84B92" w:rsidP="00E84B92"/>
              </w:txbxContent>
            </v:textbox>
          </v:shape>
        </w:pict>
      </w:r>
      <w:r w:rsidR="006A5C9F">
        <w:rPr>
          <w:noProof/>
          <w:lang w:val="en-ZA" w:eastAsia="en-ZA"/>
        </w:rPr>
        <w:t xml:space="preserve"> </w:t>
      </w:r>
      <w:r w:rsidR="00FC2AEB">
        <w:rPr>
          <w:noProof/>
          <w:lang w:val="en-ZA" w:eastAsia="en-ZA"/>
        </w:rPr>
        <w:drawing>
          <wp:inline distT="0" distB="0" distL="0" distR="0">
            <wp:extent cx="2791856" cy="2019772"/>
            <wp:effectExtent l="19050" t="0" r="8494" b="0"/>
            <wp:docPr id="32" name="Picture 17" descr="C:\Users\kewele\Desktop\Foka SEM and EDS may 2011\FK_CFT7-s-_10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wele\Desktop\Foka SEM and EDS may 2011\FK_CFT7-s-_10000.tif"/>
                    <pic:cNvPicPr>
                      <a:picLocks noChangeAspect="1" noChangeArrowheads="1"/>
                    </pic:cNvPicPr>
                  </pic:nvPicPr>
                  <pic:blipFill>
                    <a:blip r:embed="rId8">
                      <a:lum bright="2000" contrast="48000"/>
                    </a:blip>
                    <a:srcRect/>
                    <a:stretch>
                      <a:fillRect/>
                    </a:stretch>
                  </pic:blipFill>
                  <pic:spPr bwMode="auto">
                    <a:xfrm>
                      <a:off x="0" y="0"/>
                      <a:ext cx="2791856" cy="2019772"/>
                    </a:xfrm>
                    <a:prstGeom prst="rect">
                      <a:avLst/>
                    </a:prstGeom>
                    <a:noFill/>
                    <a:ln w="9525">
                      <a:noFill/>
                      <a:miter lim="800000"/>
                      <a:headEnd/>
                      <a:tailEnd/>
                    </a:ln>
                  </pic:spPr>
                </pic:pic>
              </a:graphicData>
            </a:graphic>
          </wp:inline>
        </w:drawing>
      </w:r>
      <w:r w:rsidR="00E84B92">
        <w:rPr>
          <w:noProof/>
          <w:lang w:val="en-ZA" w:eastAsia="en-ZA"/>
        </w:rPr>
        <w:t xml:space="preserve"> </w:t>
      </w:r>
      <w:r w:rsidR="006A5C9F">
        <w:rPr>
          <w:noProof/>
          <w:lang w:val="en-ZA" w:eastAsia="en-ZA"/>
        </w:rPr>
        <w:t xml:space="preserve"> </w:t>
      </w:r>
      <w:r w:rsidR="006A5C9F" w:rsidRPr="006A5C9F">
        <w:rPr>
          <w:noProof/>
          <w:lang w:val="en-ZA" w:eastAsia="en-ZA"/>
        </w:rPr>
        <w:drawing>
          <wp:inline distT="0" distB="0" distL="0" distR="0">
            <wp:extent cx="2791856" cy="2019772"/>
            <wp:effectExtent l="19050" t="0" r="8494" b="0"/>
            <wp:docPr id="1" name="Picture 16" descr="C:\Users\kewele\Desktop\New Folder\19 to 24 July 2010  FOKA  results\2010 10  20SemEDS\CFT6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wele\Desktop\New Folder\19 to 24 July 2010  FOKA  results\2010 10  20SemEDS\CFT6 (5).tif"/>
                    <pic:cNvPicPr>
                      <a:picLocks noChangeAspect="1" noChangeArrowheads="1"/>
                    </pic:cNvPicPr>
                  </pic:nvPicPr>
                  <pic:blipFill>
                    <a:blip r:embed="rId9"/>
                    <a:srcRect/>
                    <a:stretch>
                      <a:fillRect/>
                    </a:stretch>
                  </pic:blipFill>
                  <pic:spPr bwMode="auto">
                    <a:xfrm>
                      <a:off x="0" y="0"/>
                      <a:ext cx="2791856" cy="2019772"/>
                    </a:xfrm>
                    <a:prstGeom prst="rect">
                      <a:avLst/>
                    </a:prstGeom>
                    <a:noFill/>
                    <a:ln w="9525">
                      <a:noFill/>
                      <a:miter lim="800000"/>
                      <a:headEnd/>
                      <a:tailEnd/>
                    </a:ln>
                  </pic:spPr>
                </pic:pic>
              </a:graphicData>
            </a:graphic>
          </wp:inline>
        </w:drawing>
      </w:r>
    </w:p>
    <w:p w:rsidR="00E84B92" w:rsidRDefault="006A5C9F" w:rsidP="006A5C9F">
      <w:r>
        <w:rPr>
          <w:noProof/>
          <w:lang w:val="en-ZA" w:eastAsia="en-ZA"/>
        </w:rPr>
        <w:t xml:space="preserve">                                                                                                                    </w:t>
      </w:r>
    </w:p>
    <w:p w:rsidR="00E84B92" w:rsidRDefault="0033029C" w:rsidP="0025796B">
      <w:pPr>
        <w:jc w:val="both"/>
      </w:pPr>
      <w:r>
        <w:rPr>
          <w:noProof/>
          <w:lang w:val="en-ZA" w:eastAsia="en-ZA"/>
        </w:rPr>
        <w:pict>
          <v:shape id="_x0000_s1036" type="#_x0000_t202" style="position:absolute;left:0;text-align:left;margin-left:.05pt;margin-top:11pt;width:475.5pt;height:21.75pt;z-index:251656704;mso-width-relative:margin;mso-height-relative:margin" strokecolor="white">
            <v:textbox style="mso-next-textbox:#_x0000_s1036">
              <w:txbxContent>
                <w:p w:rsidR="00E84B92" w:rsidRPr="00732B07" w:rsidRDefault="00E84B92" w:rsidP="00E84B92">
                  <w:pPr>
                    <w:rPr>
                      <w:rFonts w:cs="Times"/>
                    </w:rPr>
                  </w:pPr>
                  <w:r>
                    <w:t xml:space="preserve">  </w:t>
                  </w:r>
                  <w:r w:rsidR="009C2B5F">
                    <w:rPr>
                      <w:rFonts w:cs="Times"/>
                      <w:b/>
                    </w:rPr>
                    <w:t xml:space="preserve">Figure </w:t>
                  </w:r>
                  <w:r w:rsidRPr="00C1763D">
                    <w:rPr>
                      <w:rFonts w:cs="Times"/>
                      <w:b/>
                    </w:rPr>
                    <w:t>2</w:t>
                  </w:r>
                  <w:r w:rsidR="009C2B5F">
                    <w:rPr>
                      <w:rFonts w:cs="Times"/>
                      <w:b/>
                    </w:rPr>
                    <w:t>:</w:t>
                  </w:r>
                  <w:r w:rsidRPr="00732B07">
                    <w:rPr>
                      <w:rFonts w:cs="Times"/>
                    </w:rPr>
                    <w:t xml:space="preserve"> SEM image of CaAl</w:t>
                  </w:r>
                  <w:r>
                    <w:rPr>
                      <w:rFonts w:cs="Times"/>
                      <w:vertAlign w:val="subscript"/>
                    </w:rPr>
                    <w:t>x</w:t>
                  </w:r>
                  <w:r w:rsidRPr="00732B07">
                    <w:rPr>
                      <w:rFonts w:cs="Times"/>
                    </w:rPr>
                    <w:t>O</w:t>
                  </w:r>
                  <w:r>
                    <w:rPr>
                      <w:rFonts w:cs="Times"/>
                      <w:vertAlign w:val="subscript"/>
                    </w:rPr>
                    <w:t>y</w:t>
                  </w:r>
                  <w:proofErr w:type="gramStart"/>
                  <w:r w:rsidRPr="00732B07">
                    <w:rPr>
                      <w:rFonts w:cs="Times"/>
                    </w:rPr>
                    <w:t>:Tb</w:t>
                  </w:r>
                  <w:r w:rsidRPr="00732B07">
                    <w:rPr>
                      <w:rFonts w:cs="Times"/>
                      <w:vertAlign w:val="superscript"/>
                    </w:rPr>
                    <w:t>3</w:t>
                  </w:r>
                  <w:proofErr w:type="gramEnd"/>
                  <w:r w:rsidRPr="00732B07">
                    <w:rPr>
                      <w:rFonts w:cs="Times"/>
                      <w:vertAlign w:val="superscript"/>
                    </w:rPr>
                    <w:t>+</w:t>
                  </w:r>
                  <w:r w:rsidRPr="00732B07">
                    <w:rPr>
                      <w:rFonts w:cs="Times"/>
                    </w:rPr>
                    <w:t xml:space="preserve"> phosphor (a) 2 mol% and (b) 1.5 mol% at high magnification</w:t>
                  </w:r>
                </w:p>
                <w:p w:rsidR="00E84B92" w:rsidRDefault="00E84B92" w:rsidP="00E84B92"/>
              </w:txbxContent>
            </v:textbox>
          </v:shape>
        </w:pict>
      </w:r>
    </w:p>
    <w:p w:rsidR="00E84B92" w:rsidRDefault="00E84B92" w:rsidP="0025796B">
      <w:pPr>
        <w:jc w:val="both"/>
      </w:pPr>
    </w:p>
    <w:p w:rsidR="009C2B5F" w:rsidRDefault="009C2B5F" w:rsidP="0025796B">
      <w:pPr>
        <w:jc w:val="both"/>
      </w:pPr>
    </w:p>
    <w:p w:rsidR="009C2B5F" w:rsidRDefault="009C2B5F" w:rsidP="0025796B">
      <w:pPr>
        <w:jc w:val="both"/>
      </w:pPr>
      <w:r w:rsidRPr="009C2B5F">
        <w:t>Fig. 3 shows the EDS spectrum of the CaAl</w:t>
      </w:r>
      <w:r w:rsidRPr="009C2B5F">
        <w:rPr>
          <w:vertAlign w:val="subscript"/>
        </w:rPr>
        <w:t>x</w:t>
      </w:r>
      <w:r w:rsidRPr="009C2B5F">
        <w:t>O</w:t>
      </w:r>
      <w:r w:rsidRPr="009C2B5F">
        <w:rPr>
          <w:vertAlign w:val="subscript"/>
        </w:rPr>
        <w:t>y</w:t>
      </w:r>
      <w:proofErr w:type="gramStart"/>
      <w:r w:rsidRPr="009C2B5F">
        <w:t>:Tb</w:t>
      </w:r>
      <w:r w:rsidRPr="009C2B5F">
        <w:rPr>
          <w:vertAlign w:val="superscript"/>
        </w:rPr>
        <w:t>3</w:t>
      </w:r>
      <w:proofErr w:type="gramEnd"/>
      <w:r w:rsidRPr="009C2B5F">
        <w:rPr>
          <w:vertAlign w:val="superscript"/>
        </w:rPr>
        <w:t>+</w:t>
      </w:r>
      <w:r w:rsidRPr="009C2B5F">
        <w:t xml:space="preserve"> phosphor. The presence of </w:t>
      </w:r>
      <w:proofErr w:type="spellStart"/>
      <w:r w:rsidRPr="009C2B5F">
        <w:t>CaAl</w:t>
      </w:r>
      <w:r w:rsidRPr="009C2B5F">
        <w:rPr>
          <w:vertAlign w:val="subscript"/>
        </w:rPr>
        <w:t>x</w:t>
      </w:r>
      <w:r w:rsidRPr="009C2B5F">
        <w:t>O</w:t>
      </w:r>
      <w:r w:rsidRPr="009C2B5F">
        <w:rPr>
          <w:vertAlign w:val="subscript"/>
        </w:rPr>
        <w:t>y</w:t>
      </w:r>
      <w:proofErr w:type="spellEnd"/>
      <w:r w:rsidRPr="009C2B5F">
        <w:t xml:space="preserve"> in the sample is confirmed with the Ca, Al, and O peaks. The C peak is coming from the carbon tape on which the sample was mounted.  The Tb small peak is visible in the spectra due to the high concentration of Tb</w:t>
      </w:r>
      <w:r w:rsidRPr="009C2B5F">
        <w:rPr>
          <w:vertAlign w:val="superscript"/>
        </w:rPr>
        <w:t>3+</w:t>
      </w:r>
      <w:r w:rsidRPr="009C2B5F">
        <w:t xml:space="preserve"> in the 2 and 1.5 mol% samples. For 0.5 and 0.25mol% of Tb</w:t>
      </w:r>
      <w:r w:rsidRPr="009C2B5F">
        <w:rPr>
          <w:vertAlign w:val="superscript"/>
        </w:rPr>
        <w:t>3+</w:t>
      </w:r>
      <w:r w:rsidRPr="009C2B5F">
        <w:t xml:space="preserve"> in the sample the amount of Tb was too small to be detect by EDS.</w:t>
      </w:r>
    </w:p>
    <w:p w:rsidR="009C2B5F" w:rsidRDefault="009C2B5F" w:rsidP="0025796B">
      <w:pPr>
        <w:jc w:val="both"/>
      </w:pPr>
    </w:p>
    <w:p w:rsidR="009C2B5F" w:rsidRPr="006461EC" w:rsidRDefault="009C2B5F" w:rsidP="009C2B5F">
      <w:pPr>
        <w:jc w:val="both"/>
        <w:rPr>
          <w:i/>
        </w:rPr>
      </w:pPr>
      <w:r w:rsidRPr="006461EC">
        <w:rPr>
          <w:i/>
        </w:rPr>
        <w:t>3.2 Photoluminescence spectra</w:t>
      </w:r>
    </w:p>
    <w:p w:rsidR="009C2B5F" w:rsidRPr="009C2B5F" w:rsidRDefault="009C2B5F" w:rsidP="009C2B5F">
      <w:pPr>
        <w:jc w:val="both"/>
      </w:pPr>
      <w:r>
        <w:t>Fig. 4 illustrates the emission spectra of CaAl</w:t>
      </w:r>
      <w:r w:rsidRPr="009C2B5F">
        <w:rPr>
          <w:vertAlign w:val="subscript"/>
        </w:rPr>
        <w:t>x</w:t>
      </w:r>
      <w:r>
        <w:t>O</w:t>
      </w:r>
      <w:r w:rsidRPr="009C2B5F">
        <w:rPr>
          <w:vertAlign w:val="subscript"/>
        </w:rPr>
        <w:t>y</w:t>
      </w:r>
      <w:proofErr w:type="gramStart"/>
      <w:r>
        <w:t>:xTb</w:t>
      </w:r>
      <w:r w:rsidRPr="009C2B5F">
        <w:rPr>
          <w:vertAlign w:val="superscript"/>
        </w:rPr>
        <w:t>3</w:t>
      </w:r>
      <w:proofErr w:type="gramEnd"/>
      <w:r w:rsidRPr="009C2B5F">
        <w:rPr>
          <w:vertAlign w:val="superscript"/>
        </w:rPr>
        <w:t>+</w:t>
      </w:r>
      <w:r>
        <w:t xml:space="preserve"> (where x= 0.25, 0.4, 0.5, 1.0, 1.5 and 2.0 mol%). The emission spectra show the peaks mainly at 493, 545, 588 and 622 nm respectively when</w:t>
      </w:r>
      <w:r w:rsidRPr="00732B07">
        <w:rPr>
          <w:rFonts w:cs="Times"/>
        </w:rPr>
        <w:t xml:space="preserve"> </w:t>
      </w:r>
    </w:p>
    <w:p w:rsidR="009C2B5F" w:rsidRDefault="00FC2AEB" w:rsidP="009C2B5F">
      <w:pPr>
        <w:jc w:val="center"/>
      </w:pPr>
      <w:r>
        <w:rPr>
          <w:noProof/>
          <w:lang w:val="en-ZA" w:eastAsia="en-ZA"/>
        </w:rPr>
        <w:drawing>
          <wp:inline distT="0" distB="0" distL="0" distR="0">
            <wp:extent cx="3990975" cy="3371850"/>
            <wp:effectExtent l="0" t="0" r="0" b="0"/>
            <wp:docPr id="39" name="Objec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10"/>
                    <a:srcRect/>
                    <a:stretch>
                      <a:fillRect/>
                    </a:stretch>
                  </pic:blipFill>
                  <pic:spPr bwMode="auto">
                    <a:xfrm>
                      <a:off x="0" y="0"/>
                      <a:ext cx="3990975" cy="3371850"/>
                    </a:xfrm>
                    <a:prstGeom prst="rect">
                      <a:avLst/>
                    </a:prstGeom>
                    <a:noFill/>
                    <a:ln w="9525">
                      <a:noFill/>
                      <a:miter lim="800000"/>
                      <a:headEnd/>
                      <a:tailEnd/>
                    </a:ln>
                  </pic:spPr>
                </pic:pic>
              </a:graphicData>
            </a:graphic>
          </wp:inline>
        </w:drawing>
      </w:r>
    </w:p>
    <w:p w:rsidR="009C2B5F" w:rsidRDefault="009C2B5F" w:rsidP="009C2B5F">
      <w:pPr>
        <w:jc w:val="both"/>
      </w:pPr>
    </w:p>
    <w:p w:rsidR="00C85FC1" w:rsidRDefault="0033029C" w:rsidP="009C2B5F">
      <w:pPr>
        <w:pStyle w:val="Subsection"/>
        <w:numPr>
          <w:ilvl w:val="0"/>
          <w:numId w:val="0"/>
        </w:numPr>
      </w:pPr>
      <w:r>
        <w:rPr>
          <w:noProof/>
          <w:lang w:val="en-ZA" w:eastAsia="en-ZA"/>
        </w:rPr>
        <w:pict>
          <v:shape id="_x0000_s1037" type="#_x0000_t202" style="position:absolute;margin-left:19.1pt;margin-top:12.9pt;width:396.75pt;height:21.75pt;z-index:251657728;mso-width-relative:margin;mso-height-relative:margin" strokecolor="white">
            <v:textbox style="mso-next-textbox:#_x0000_s1037">
              <w:txbxContent>
                <w:p w:rsidR="009C2B5F" w:rsidRPr="00732B07" w:rsidRDefault="009C2B5F" w:rsidP="009C2B5F">
                  <w:pPr>
                    <w:rPr>
                      <w:rFonts w:cs="Times"/>
                    </w:rPr>
                  </w:pPr>
                  <w:r>
                    <w:t xml:space="preserve">  </w:t>
                  </w:r>
                  <w:r w:rsidRPr="00C1763D">
                    <w:rPr>
                      <w:rFonts w:cs="Times"/>
                      <w:b/>
                    </w:rPr>
                    <w:t>Fig</w:t>
                  </w:r>
                  <w:r>
                    <w:rPr>
                      <w:rFonts w:cs="Times"/>
                      <w:b/>
                    </w:rPr>
                    <w:t>ure 3:</w:t>
                  </w:r>
                  <w:r w:rsidRPr="00732B07">
                    <w:rPr>
                      <w:rFonts w:cs="Times"/>
                    </w:rPr>
                    <w:t xml:space="preserve"> EDS spectr</w:t>
                  </w:r>
                  <w:r>
                    <w:rPr>
                      <w:rFonts w:cs="Times"/>
                    </w:rPr>
                    <w:t>a</w:t>
                  </w:r>
                  <w:r w:rsidRPr="00732B07">
                    <w:rPr>
                      <w:rFonts w:cs="Times"/>
                    </w:rPr>
                    <w:t xml:space="preserve"> of CAl</w:t>
                  </w:r>
                  <w:r>
                    <w:rPr>
                      <w:rFonts w:cs="Times"/>
                      <w:vertAlign w:val="subscript"/>
                    </w:rPr>
                    <w:t>x</w:t>
                  </w:r>
                  <w:r w:rsidRPr="00732B07">
                    <w:rPr>
                      <w:rFonts w:cs="Times"/>
                    </w:rPr>
                    <w:t>O</w:t>
                  </w:r>
                  <w:r>
                    <w:rPr>
                      <w:rFonts w:cs="Times"/>
                      <w:vertAlign w:val="subscript"/>
                    </w:rPr>
                    <w:t>y</w:t>
                  </w:r>
                  <w:proofErr w:type="gramStart"/>
                  <w:r w:rsidRPr="00732B07">
                    <w:rPr>
                      <w:rFonts w:cs="Times"/>
                    </w:rPr>
                    <w:t>:Tb</w:t>
                  </w:r>
                  <w:r w:rsidRPr="00732B07">
                    <w:rPr>
                      <w:rFonts w:cs="Times"/>
                      <w:vertAlign w:val="superscript"/>
                    </w:rPr>
                    <w:t>3</w:t>
                  </w:r>
                  <w:proofErr w:type="gramEnd"/>
                  <w:r w:rsidRPr="00732B07">
                    <w:rPr>
                      <w:rFonts w:cs="Times"/>
                      <w:vertAlign w:val="superscript"/>
                    </w:rPr>
                    <w:t>+</w:t>
                  </w:r>
                  <w:r w:rsidRPr="00732B07">
                    <w:rPr>
                      <w:rFonts w:cs="Times"/>
                    </w:rPr>
                    <w:t xml:space="preserve"> with different concentration </w:t>
                  </w:r>
                  <w:r>
                    <w:rPr>
                      <w:rFonts w:cs="Times"/>
                    </w:rPr>
                    <w:t>o</w:t>
                  </w:r>
                  <w:r w:rsidRPr="00732B07">
                    <w:rPr>
                      <w:rFonts w:cs="Times"/>
                    </w:rPr>
                    <w:t>f Tb</w:t>
                  </w:r>
                  <w:r w:rsidRPr="00732B07">
                    <w:rPr>
                      <w:rFonts w:cs="Times"/>
                      <w:vertAlign w:val="superscript"/>
                    </w:rPr>
                    <w:t>3+</w:t>
                  </w:r>
                  <w:r w:rsidRPr="00732B07">
                    <w:rPr>
                      <w:rFonts w:cs="Times"/>
                    </w:rPr>
                    <w:t xml:space="preserve"> ions.</w:t>
                  </w:r>
                </w:p>
                <w:p w:rsidR="009C2B5F" w:rsidRDefault="009C2B5F" w:rsidP="009C2B5F"/>
              </w:txbxContent>
            </v:textbox>
          </v:shape>
        </w:pict>
      </w:r>
    </w:p>
    <w:p w:rsidR="009C2B5F" w:rsidRPr="009C2B5F" w:rsidRDefault="009C2B5F" w:rsidP="009C2B5F">
      <w:pPr>
        <w:pStyle w:val="Bodytext"/>
        <w:rPr>
          <w:lang w:val="en-GB"/>
        </w:rPr>
      </w:pPr>
    </w:p>
    <w:p w:rsidR="00E84B92" w:rsidRPr="00E84B92" w:rsidRDefault="00E84B92" w:rsidP="00E84B92">
      <w:pPr>
        <w:pStyle w:val="Bodytext"/>
        <w:rPr>
          <w:lang w:val="en-GB"/>
        </w:rPr>
      </w:pPr>
    </w:p>
    <w:p w:rsidR="00C85FC1" w:rsidRPr="00C85FC1" w:rsidRDefault="009C2B5F" w:rsidP="00D72075">
      <w:pPr>
        <w:pStyle w:val="ListParagraph"/>
        <w:spacing w:after="0"/>
        <w:ind w:left="0"/>
        <w:jc w:val="both"/>
        <w:rPr>
          <w:rFonts w:ascii="Times" w:hAnsi="Times"/>
        </w:rPr>
      </w:pPr>
      <w:proofErr w:type="gramStart"/>
      <w:r w:rsidRPr="009C2B5F">
        <w:rPr>
          <w:rFonts w:ascii="Times" w:hAnsi="Times"/>
        </w:rPr>
        <w:lastRenderedPageBreak/>
        <w:t>excited</w:t>
      </w:r>
      <w:proofErr w:type="gramEnd"/>
      <w:r w:rsidRPr="009C2B5F">
        <w:rPr>
          <w:rFonts w:ascii="Times" w:hAnsi="Times"/>
        </w:rPr>
        <w:t xml:space="preserve"> with a 239 nm excitation wavelength. The emission peaks are from transition of the </w:t>
      </w:r>
      <w:r w:rsidRPr="009C2B5F">
        <w:rPr>
          <w:rFonts w:ascii="Times" w:hAnsi="Times"/>
          <w:vertAlign w:val="superscript"/>
        </w:rPr>
        <w:t>5</w:t>
      </w:r>
      <w:r w:rsidRPr="009C2B5F">
        <w:rPr>
          <w:rFonts w:ascii="Times" w:hAnsi="Times"/>
        </w:rPr>
        <w:t>D</w:t>
      </w:r>
      <w:r w:rsidRPr="009C2B5F">
        <w:rPr>
          <w:rFonts w:ascii="Times" w:hAnsi="Times"/>
          <w:vertAlign w:val="subscript"/>
        </w:rPr>
        <w:t>4</w:t>
      </w:r>
      <w:r w:rsidRPr="009C2B5F">
        <w:rPr>
          <w:rFonts w:ascii="Times" w:hAnsi="Times"/>
        </w:rPr>
        <w:t xml:space="preserve"> state to the </w:t>
      </w:r>
      <w:r w:rsidRPr="009C2B5F">
        <w:rPr>
          <w:rFonts w:ascii="Times" w:hAnsi="Times"/>
          <w:vertAlign w:val="superscript"/>
        </w:rPr>
        <w:t>7</w:t>
      </w:r>
      <w:r w:rsidRPr="009C2B5F">
        <w:rPr>
          <w:rFonts w:ascii="Times" w:hAnsi="Times"/>
        </w:rPr>
        <w:t>F</w:t>
      </w:r>
      <w:r w:rsidRPr="009C2B5F">
        <w:rPr>
          <w:rFonts w:ascii="Times" w:hAnsi="Times"/>
          <w:vertAlign w:val="subscript"/>
        </w:rPr>
        <w:t>J</w:t>
      </w:r>
      <w:r w:rsidRPr="009C2B5F">
        <w:rPr>
          <w:rFonts w:ascii="Times" w:hAnsi="Times"/>
        </w:rPr>
        <w:t xml:space="preserve"> (J = 6, 5, 4, 3) state. It was found that with an increase in the concentration of Tb in the host lattice there was a significant increase in the intensity of all the intensities. The excitation spectra of the CaAl</w:t>
      </w:r>
      <w:r w:rsidRPr="009C2B5F">
        <w:rPr>
          <w:rFonts w:ascii="Times" w:hAnsi="Times"/>
          <w:vertAlign w:val="subscript"/>
        </w:rPr>
        <w:t>x</w:t>
      </w:r>
      <w:r w:rsidRPr="009C2B5F">
        <w:rPr>
          <w:rFonts w:ascii="Times" w:hAnsi="Times"/>
        </w:rPr>
        <w:t>O</w:t>
      </w:r>
      <w:r w:rsidRPr="009C2B5F">
        <w:rPr>
          <w:rFonts w:ascii="Times" w:hAnsi="Times"/>
          <w:vertAlign w:val="subscript"/>
        </w:rPr>
        <w:t>y</w:t>
      </w:r>
      <w:proofErr w:type="gramStart"/>
      <w:r w:rsidRPr="009C2B5F">
        <w:rPr>
          <w:rFonts w:ascii="Times" w:hAnsi="Times"/>
        </w:rPr>
        <w:t>:Tb</w:t>
      </w:r>
      <w:r w:rsidRPr="009C2B5F">
        <w:rPr>
          <w:rFonts w:ascii="Times" w:hAnsi="Times"/>
          <w:vertAlign w:val="superscript"/>
        </w:rPr>
        <w:t>3</w:t>
      </w:r>
      <w:proofErr w:type="gramEnd"/>
      <w:r w:rsidRPr="009C2B5F">
        <w:rPr>
          <w:rFonts w:ascii="Times" w:hAnsi="Times"/>
          <w:vertAlign w:val="superscript"/>
        </w:rPr>
        <w:t>+</w:t>
      </w:r>
      <w:r w:rsidRPr="009C2B5F">
        <w:rPr>
          <w:rFonts w:ascii="Times" w:hAnsi="Times"/>
        </w:rPr>
        <w:t xml:space="preserve"> were recorded at an emission of 545 nm.  It consists of 4f—5d transitions [2]. The broad band was centered at 239 nm. The intensity increased with an increase in the concentration of Tb</w:t>
      </w:r>
      <w:r w:rsidRPr="009C2B5F">
        <w:rPr>
          <w:rFonts w:ascii="Times" w:hAnsi="Times"/>
          <w:vertAlign w:val="superscript"/>
        </w:rPr>
        <w:t>3+.</w:t>
      </w:r>
      <w:r w:rsidRPr="009C2B5F">
        <w:rPr>
          <w:rFonts w:ascii="Times" w:hAnsi="Times"/>
        </w:rPr>
        <w:t xml:space="preserve"> The PL intensity of </w:t>
      </w:r>
      <w:proofErr w:type="spellStart"/>
      <w:r w:rsidRPr="009C2B5F">
        <w:rPr>
          <w:rFonts w:ascii="Times" w:hAnsi="Times"/>
        </w:rPr>
        <w:t>CaAl</w:t>
      </w:r>
      <w:r w:rsidRPr="009C2B5F">
        <w:rPr>
          <w:rFonts w:ascii="Times" w:hAnsi="Times"/>
          <w:vertAlign w:val="subscript"/>
        </w:rPr>
        <w:t>x</w:t>
      </w:r>
      <w:r w:rsidRPr="009C2B5F">
        <w:rPr>
          <w:rFonts w:ascii="Times" w:hAnsi="Times"/>
        </w:rPr>
        <w:t>O</w:t>
      </w:r>
      <w:r w:rsidRPr="009C2B5F">
        <w:rPr>
          <w:rFonts w:ascii="Times" w:hAnsi="Times"/>
          <w:vertAlign w:val="subscript"/>
        </w:rPr>
        <w:t>y</w:t>
      </w:r>
      <w:proofErr w:type="spellEnd"/>
      <w:r w:rsidRPr="009C2B5F">
        <w:rPr>
          <w:rFonts w:ascii="Times" w:hAnsi="Times"/>
        </w:rPr>
        <w:t xml:space="preserve">: </w:t>
      </w:r>
      <w:r w:rsidRPr="009C2B5F">
        <w:rPr>
          <w:rFonts w:ascii="Times" w:hAnsi="Times"/>
          <w:i/>
        </w:rPr>
        <w:t>x</w:t>
      </w:r>
      <w:r w:rsidRPr="009C2B5F">
        <w:rPr>
          <w:rFonts w:ascii="Times" w:hAnsi="Times"/>
        </w:rPr>
        <w:t>Tb</w:t>
      </w:r>
      <w:r w:rsidRPr="009C2B5F">
        <w:rPr>
          <w:rFonts w:ascii="Times" w:hAnsi="Times"/>
          <w:vertAlign w:val="superscript"/>
        </w:rPr>
        <w:t>3+</w:t>
      </w:r>
      <w:r w:rsidRPr="009C2B5F">
        <w:rPr>
          <w:rFonts w:ascii="Times" w:hAnsi="Times"/>
        </w:rPr>
        <w:t xml:space="preserve"> where x is the different mol percentages of Tb</w:t>
      </w:r>
      <w:r w:rsidRPr="009C2B5F">
        <w:rPr>
          <w:rFonts w:ascii="Times" w:hAnsi="Times"/>
          <w:vertAlign w:val="superscript"/>
        </w:rPr>
        <w:t>3+</w:t>
      </w:r>
      <w:r w:rsidRPr="009C2B5F">
        <w:rPr>
          <w:rFonts w:ascii="Times" w:hAnsi="Times"/>
        </w:rPr>
        <w:t xml:space="preserve"> (0.25 ≤ </w:t>
      </w:r>
      <w:r w:rsidRPr="009C2B5F">
        <w:rPr>
          <w:rFonts w:ascii="Times" w:hAnsi="Times"/>
          <w:i/>
        </w:rPr>
        <w:t>x</w:t>
      </w:r>
      <w:r w:rsidRPr="009C2B5F">
        <w:rPr>
          <w:rFonts w:ascii="Times" w:hAnsi="Times"/>
        </w:rPr>
        <w:t xml:space="preserve"> ≤ 2.0) as a function of the Tb</w:t>
      </w:r>
      <w:r w:rsidRPr="009C2B5F">
        <w:rPr>
          <w:rFonts w:ascii="Times" w:hAnsi="Times"/>
          <w:vertAlign w:val="superscript"/>
        </w:rPr>
        <w:t>3+</w:t>
      </w:r>
      <w:r w:rsidRPr="009C2B5F">
        <w:rPr>
          <w:rFonts w:ascii="Times" w:hAnsi="Times"/>
        </w:rPr>
        <w:t xml:space="preserve"> concentrations is shown in Fig. 4(c). The emission peaks intensity increased when the amount of Tb increased, and a maximum value was found for </w:t>
      </w:r>
      <w:r w:rsidRPr="009C2B5F">
        <w:rPr>
          <w:rFonts w:ascii="Times" w:hAnsi="Times"/>
          <w:i/>
        </w:rPr>
        <w:t>x</w:t>
      </w:r>
      <w:r w:rsidRPr="009C2B5F">
        <w:rPr>
          <w:rFonts w:ascii="Times" w:hAnsi="Times"/>
        </w:rPr>
        <w:t xml:space="preserve"> = 2 mol%.</w:t>
      </w:r>
    </w:p>
    <w:p w:rsidR="006461EC" w:rsidRDefault="006461EC" w:rsidP="006461EC">
      <w:pPr>
        <w:jc w:val="both"/>
        <w:rPr>
          <w:rFonts w:cs="Times"/>
          <w:bCs/>
        </w:rPr>
      </w:pPr>
    </w:p>
    <w:p w:rsidR="009C2B5F" w:rsidRDefault="006461EC" w:rsidP="006461EC">
      <w:pPr>
        <w:pStyle w:val="ListParagraph"/>
        <w:spacing w:after="0"/>
        <w:ind w:left="0" w:firstLine="567"/>
        <w:rPr>
          <w:rFonts w:ascii="Times" w:hAnsi="Times"/>
        </w:rPr>
      </w:pPr>
      <w:r>
        <w:rPr>
          <w:rFonts w:ascii="Times" w:hAnsi="Times" w:cs="Times"/>
          <w:bCs/>
        </w:rPr>
        <w:t xml:space="preserve"> </w:t>
      </w:r>
      <w:r w:rsidRPr="006461EC">
        <w:rPr>
          <w:rFonts w:ascii="Times" w:hAnsi="Times" w:cs="Times"/>
          <w:bCs/>
        </w:rPr>
        <w:t xml:space="preserve">   </w:t>
      </w:r>
    </w:p>
    <w:p w:rsidR="006461EC" w:rsidRDefault="0033029C" w:rsidP="006461EC">
      <w:pPr>
        <w:jc w:val="center"/>
        <w:rPr>
          <w:rFonts w:cs="Times"/>
          <w:bCs/>
        </w:rPr>
      </w:pPr>
      <w:r w:rsidRPr="0033029C">
        <w:rPr>
          <w:rFonts w:asciiTheme="minorHAnsi" w:hAnsiTheme="minorHAnsi" w:cstheme="minorBidi"/>
          <w:noProof/>
          <w:lang w:val="en-ZA" w:eastAsia="en-ZA"/>
        </w:rPr>
        <w:pict>
          <v:shape id="_x0000_s1041" type="#_x0000_t202" style="position:absolute;left:0;text-align:left;margin-left:391.1pt;margin-top:28.25pt;width:31.5pt;height:21pt;z-index:251658752;mso-width-relative:margin;mso-height-relative:margin" strokecolor="white">
            <v:textbox style="mso-next-textbox:#_x0000_s1041">
              <w:txbxContent>
                <w:p w:rsidR="006461EC" w:rsidRDefault="006461EC" w:rsidP="006461EC">
                  <w:r>
                    <w:t>(b)</w:t>
                  </w:r>
                </w:p>
              </w:txbxContent>
            </v:textbox>
          </v:shape>
        </w:pict>
      </w:r>
      <w:r w:rsidRPr="0033029C">
        <w:rPr>
          <w:rFonts w:asciiTheme="minorHAnsi" w:hAnsiTheme="minorHAnsi" w:cstheme="minorBidi"/>
          <w:noProof/>
          <w:lang w:val="en-ZA" w:eastAsia="en-ZA"/>
        </w:rPr>
        <w:pict>
          <v:shape id="_x0000_s1046" type="#_x0000_t202" style="position:absolute;left:0;text-align:left;margin-left:158.25pt;margin-top:28.25pt;width:34.5pt;height:22.5pt;z-index:251659776;mso-width-relative:margin;mso-height-relative:margin" strokecolor="white">
            <v:textbox style="mso-next-textbox:#_x0000_s1046">
              <w:txbxContent>
                <w:p w:rsidR="006461EC" w:rsidRDefault="006461EC" w:rsidP="006461EC">
                  <w:r>
                    <w:t>(a)</w:t>
                  </w:r>
                </w:p>
              </w:txbxContent>
            </v:textbox>
          </v:shape>
        </w:pict>
      </w:r>
      <w:r w:rsidR="00FC2AEB">
        <w:rPr>
          <w:rFonts w:cs="Times"/>
          <w:bCs/>
          <w:noProof/>
          <w:lang w:val="en-ZA" w:eastAsia="en-ZA"/>
        </w:rPr>
        <w:drawing>
          <wp:inline distT="0" distB="0" distL="0" distR="0">
            <wp:extent cx="2847975" cy="2381250"/>
            <wp:effectExtent l="0" t="0" r="0" b="0"/>
            <wp:docPr id="95" name="Objec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5"/>
                    <pic:cNvPicPr>
                      <a:picLocks noChangeAspect="1" noChangeArrowheads="1"/>
                    </pic:cNvPicPr>
                  </pic:nvPicPr>
                  <pic:blipFill>
                    <a:blip r:embed="rId11"/>
                    <a:srcRect/>
                    <a:stretch>
                      <a:fillRect/>
                    </a:stretch>
                  </pic:blipFill>
                  <pic:spPr bwMode="auto">
                    <a:xfrm>
                      <a:off x="0" y="0"/>
                      <a:ext cx="2847975" cy="2381250"/>
                    </a:xfrm>
                    <a:prstGeom prst="rect">
                      <a:avLst/>
                    </a:prstGeom>
                    <a:noFill/>
                    <a:ln w="9525">
                      <a:noFill/>
                      <a:miter lim="800000"/>
                      <a:headEnd/>
                      <a:tailEnd/>
                    </a:ln>
                  </pic:spPr>
                </pic:pic>
              </a:graphicData>
            </a:graphic>
          </wp:inline>
        </w:drawing>
      </w:r>
      <w:r w:rsidR="006461EC">
        <w:rPr>
          <w:rFonts w:cs="Times"/>
          <w:bCs/>
        </w:rPr>
        <w:t xml:space="preserve"> </w:t>
      </w:r>
      <w:r>
        <w:fldChar w:fldCharType="begin"/>
      </w:r>
      <w:r w:rsidR="001A494D">
        <w:instrText xml:space="preserve"> LINK Unknown "C:\\Program Files\\Microcal\\Origin 6.0\\CFTpl.OPJ\\Graph1\\Graph1" "" \a \p </w:instrText>
      </w:r>
      <w:r>
        <w:fldChar w:fldCharType="separate"/>
      </w:r>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189.75pt">
            <v:imagedata r:id="rId12" o:title=""/>
          </v:shape>
        </w:object>
      </w:r>
      <w:r>
        <w:fldChar w:fldCharType="end"/>
      </w:r>
    </w:p>
    <w:p w:rsidR="006461EC" w:rsidRDefault="0033029C" w:rsidP="006461EC">
      <w:pPr>
        <w:jc w:val="center"/>
        <w:rPr>
          <w:noProof/>
          <w:lang w:val="en-ZA" w:eastAsia="en-ZA"/>
        </w:rPr>
      </w:pPr>
      <w:r>
        <w:rPr>
          <w:noProof/>
          <w:lang w:val="en-ZA" w:eastAsia="en-ZA"/>
        </w:rPr>
        <w:pict>
          <v:shape id="_x0000_s1049" type="#_x0000_t202" style="position:absolute;left:0;text-align:left;margin-left:-5.25pt;margin-top:204.75pt;width:455.25pt;height:33pt;z-index:251661824;mso-width-relative:margin;mso-height-relative:margin" strokecolor="white">
            <v:textbox style="mso-next-textbox:#_x0000_s1049">
              <w:txbxContent>
                <w:p w:rsidR="006461EC" w:rsidRPr="00732B07" w:rsidRDefault="006461EC" w:rsidP="006461EC">
                  <w:pPr>
                    <w:rPr>
                      <w:rFonts w:cs="Times"/>
                    </w:rPr>
                  </w:pPr>
                  <w:r w:rsidRPr="005D6D8B">
                    <w:rPr>
                      <w:rFonts w:cs="Times"/>
                      <w:b/>
                    </w:rPr>
                    <w:t>Fig</w:t>
                  </w:r>
                  <w:r>
                    <w:rPr>
                      <w:rFonts w:cs="Times"/>
                      <w:b/>
                    </w:rPr>
                    <w:t xml:space="preserve">ure </w:t>
                  </w:r>
                  <w:r w:rsidRPr="005D6D8B">
                    <w:rPr>
                      <w:rFonts w:cs="Times"/>
                      <w:b/>
                    </w:rPr>
                    <w:t>4</w:t>
                  </w:r>
                  <w:r>
                    <w:rPr>
                      <w:rFonts w:cs="Times"/>
                      <w:b/>
                    </w:rPr>
                    <w:t>:</w:t>
                  </w:r>
                  <w:r w:rsidRPr="00732B07">
                    <w:rPr>
                      <w:rFonts w:cs="Times"/>
                    </w:rPr>
                    <w:t xml:space="preserve"> (a) Photoluminescence excitation (b) emission spectra of C</w:t>
                  </w:r>
                  <w:r>
                    <w:rPr>
                      <w:rFonts w:cs="Times"/>
                    </w:rPr>
                    <w:t>a</w:t>
                  </w:r>
                  <w:r w:rsidRPr="00732B07">
                    <w:rPr>
                      <w:rFonts w:cs="Times"/>
                    </w:rPr>
                    <w:t>l</w:t>
                  </w:r>
                  <w:r>
                    <w:rPr>
                      <w:rFonts w:cs="Times"/>
                      <w:vertAlign w:val="subscript"/>
                    </w:rPr>
                    <w:t>x</w:t>
                  </w:r>
                  <w:r w:rsidRPr="00732B07">
                    <w:rPr>
                      <w:rFonts w:cs="Times"/>
                    </w:rPr>
                    <w:t>O</w:t>
                  </w:r>
                  <w:r>
                    <w:rPr>
                      <w:rFonts w:cs="Times"/>
                      <w:vertAlign w:val="subscript"/>
                    </w:rPr>
                    <w:t>y</w:t>
                  </w:r>
                  <w:proofErr w:type="gramStart"/>
                  <w:r w:rsidRPr="00732B07">
                    <w:rPr>
                      <w:rFonts w:cs="Times"/>
                    </w:rPr>
                    <w:t>:Tb</w:t>
                  </w:r>
                  <w:r w:rsidRPr="00732B07">
                    <w:rPr>
                      <w:rFonts w:cs="Times"/>
                      <w:vertAlign w:val="superscript"/>
                    </w:rPr>
                    <w:t>3</w:t>
                  </w:r>
                  <w:proofErr w:type="gramEnd"/>
                  <w:r w:rsidRPr="00732B07">
                    <w:rPr>
                      <w:rFonts w:cs="Times"/>
                      <w:vertAlign w:val="superscript"/>
                    </w:rPr>
                    <w:t>+</w:t>
                  </w:r>
                  <w:r>
                    <w:rPr>
                      <w:rFonts w:cs="Times"/>
                    </w:rPr>
                    <w:t xml:space="preserve"> and (c) PL intensity </w:t>
                  </w:r>
                  <w:r w:rsidRPr="00732B07">
                    <w:rPr>
                      <w:rFonts w:cs="Times"/>
                    </w:rPr>
                    <w:t>as a function of Tb</w:t>
                  </w:r>
                  <w:r w:rsidRPr="00732B07">
                    <w:rPr>
                      <w:rFonts w:cs="Times"/>
                      <w:vertAlign w:val="superscript"/>
                    </w:rPr>
                    <w:t>3+</w:t>
                  </w:r>
                  <w:r w:rsidRPr="00732B07">
                    <w:rPr>
                      <w:rFonts w:cs="Times"/>
                    </w:rPr>
                    <w:t xml:space="preserve"> concentration.</w:t>
                  </w:r>
                </w:p>
                <w:p w:rsidR="006461EC" w:rsidRDefault="006461EC" w:rsidP="006461EC"/>
              </w:txbxContent>
            </v:textbox>
          </v:shape>
        </w:pict>
      </w:r>
      <w:r>
        <w:rPr>
          <w:noProof/>
          <w:lang w:val="en-ZA" w:eastAsia="en-ZA"/>
        </w:rPr>
        <w:pict>
          <v:shape id="_x0000_s1048" type="#_x0000_t202" style="position:absolute;left:0;text-align:left;margin-left:148.1pt;margin-top:33pt;width:28.5pt;height:18.75pt;z-index:251660800;mso-width-relative:margin;mso-height-relative:margin" strokecolor="white">
            <v:textbox style="mso-next-textbox:#_x0000_s1048">
              <w:txbxContent>
                <w:p w:rsidR="006461EC" w:rsidRDefault="006461EC" w:rsidP="006461EC">
                  <w:r>
                    <w:t>(c)</w:t>
                  </w:r>
                </w:p>
              </w:txbxContent>
            </v:textbox>
          </v:shape>
        </w:pict>
      </w:r>
      <w:r w:rsidR="00FC2AEB">
        <w:rPr>
          <w:noProof/>
          <w:lang w:val="en-ZA" w:eastAsia="en-ZA"/>
        </w:rPr>
        <w:drawing>
          <wp:inline distT="0" distB="0" distL="0" distR="0">
            <wp:extent cx="3143250" cy="2647950"/>
            <wp:effectExtent l="0" t="0" r="0" b="0"/>
            <wp:docPr id="97" name="Objec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7"/>
                    <pic:cNvPicPr>
                      <a:picLocks noChangeAspect="1" noChangeArrowheads="1"/>
                    </pic:cNvPicPr>
                  </pic:nvPicPr>
                  <pic:blipFill>
                    <a:blip r:embed="rId13"/>
                    <a:srcRect/>
                    <a:stretch>
                      <a:fillRect/>
                    </a:stretch>
                  </pic:blipFill>
                  <pic:spPr bwMode="auto">
                    <a:xfrm>
                      <a:off x="0" y="0"/>
                      <a:ext cx="3143250" cy="2647950"/>
                    </a:xfrm>
                    <a:prstGeom prst="rect">
                      <a:avLst/>
                    </a:prstGeom>
                    <a:noFill/>
                    <a:ln w="9525">
                      <a:noFill/>
                      <a:miter lim="800000"/>
                      <a:headEnd/>
                      <a:tailEnd/>
                    </a:ln>
                  </pic:spPr>
                </pic:pic>
              </a:graphicData>
            </a:graphic>
          </wp:inline>
        </w:drawing>
      </w:r>
    </w:p>
    <w:p w:rsidR="009C2B5F" w:rsidRDefault="009C2B5F" w:rsidP="00C85FC1">
      <w:pPr>
        <w:pStyle w:val="ListParagraph"/>
        <w:spacing w:after="0"/>
        <w:ind w:left="0" w:firstLine="567"/>
        <w:jc w:val="both"/>
        <w:rPr>
          <w:rFonts w:ascii="Times" w:hAnsi="Times"/>
        </w:rPr>
      </w:pPr>
    </w:p>
    <w:p w:rsidR="006461EC" w:rsidRDefault="006461EC" w:rsidP="00C85FC1">
      <w:pPr>
        <w:pStyle w:val="ListParagraph"/>
        <w:spacing w:after="0"/>
        <w:ind w:left="0" w:firstLine="567"/>
        <w:jc w:val="both"/>
        <w:rPr>
          <w:rFonts w:ascii="Times" w:hAnsi="Times"/>
        </w:rPr>
      </w:pPr>
    </w:p>
    <w:p w:rsidR="006461EC" w:rsidRDefault="006461EC" w:rsidP="006461EC">
      <w:pPr>
        <w:rPr>
          <w:lang w:val="en-US"/>
        </w:rPr>
      </w:pPr>
    </w:p>
    <w:p w:rsidR="009C2B5F" w:rsidRDefault="006461EC" w:rsidP="006461EC">
      <w:pPr>
        <w:rPr>
          <w:lang w:val="en-US"/>
        </w:rPr>
      </w:pPr>
      <w:r w:rsidRPr="006461EC">
        <w:rPr>
          <w:lang w:val="en-US"/>
        </w:rPr>
        <w:t>Fig. 5 shows the decay curves of the CaAl</w:t>
      </w:r>
      <w:r w:rsidRPr="006461EC">
        <w:rPr>
          <w:vertAlign w:val="subscript"/>
          <w:lang w:val="en-US"/>
        </w:rPr>
        <w:t>x</w:t>
      </w:r>
      <w:r w:rsidRPr="006461EC">
        <w:rPr>
          <w:lang w:val="en-US"/>
        </w:rPr>
        <w:t>O</w:t>
      </w:r>
      <w:r w:rsidRPr="006461EC">
        <w:rPr>
          <w:vertAlign w:val="subscript"/>
          <w:lang w:val="en-US"/>
        </w:rPr>
        <w:t>y</w:t>
      </w:r>
      <w:proofErr w:type="gramStart"/>
      <w:r w:rsidRPr="006461EC">
        <w:rPr>
          <w:lang w:val="en-US"/>
        </w:rPr>
        <w:t>:Tb</w:t>
      </w:r>
      <w:r w:rsidRPr="006461EC">
        <w:rPr>
          <w:vertAlign w:val="superscript"/>
          <w:lang w:val="en-US"/>
        </w:rPr>
        <w:t>3</w:t>
      </w:r>
      <w:proofErr w:type="gramEnd"/>
      <w:r w:rsidRPr="006461EC">
        <w:rPr>
          <w:vertAlign w:val="superscript"/>
          <w:lang w:val="en-US"/>
        </w:rPr>
        <w:t>+</w:t>
      </w:r>
      <w:r w:rsidRPr="006461EC">
        <w:rPr>
          <w:lang w:val="en-US"/>
        </w:rPr>
        <w:t xml:space="preserve"> phosphor with a Tb concentration of 0.25 and 2 mol%. The results indicate that the intensity of the phosphorescence decreased quickly at first and then at a slower rate. The curve of the sample doped with the higher concentration displays a higher intensity and long afterglow time than the curve for the lower Tb </w:t>
      </w:r>
      <w:proofErr w:type="gramStart"/>
      <w:r w:rsidRPr="006461EC">
        <w:rPr>
          <w:lang w:val="en-US"/>
        </w:rPr>
        <w:t>concentration(</w:t>
      </w:r>
      <w:proofErr w:type="gramEnd"/>
      <w:r w:rsidRPr="006461EC">
        <w:rPr>
          <w:lang w:val="en-US"/>
        </w:rPr>
        <w:t>CaAl</w:t>
      </w:r>
      <w:r w:rsidRPr="006461EC">
        <w:rPr>
          <w:vertAlign w:val="subscript"/>
          <w:lang w:val="en-US"/>
        </w:rPr>
        <w:t>x</w:t>
      </w:r>
      <w:r w:rsidRPr="006461EC">
        <w:rPr>
          <w:lang w:val="en-US"/>
        </w:rPr>
        <w:t>O</w:t>
      </w:r>
      <w:r w:rsidRPr="006461EC">
        <w:rPr>
          <w:vertAlign w:val="subscript"/>
          <w:lang w:val="en-US"/>
        </w:rPr>
        <w:t>y</w:t>
      </w:r>
      <w:r w:rsidRPr="006461EC">
        <w:rPr>
          <w:lang w:val="en-US"/>
        </w:rPr>
        <w:t>:0.25%Tb</w:t>
      </w:r>
      <w:r w:rsidRPr="006461EC">
        <w:rPr>
          <w:vertAlign w:val="superscript"/>
          <w:lang w:val="en-US"/>
        </w:rPr>
        <w:t>3+</w:t>
      </w:r>
      <w:r w:rsidRPr="006461EC">
        <w:rPr>
          <w:lang w:val="en-US"/>
        </w:rPr>
        <w:t>).</w:t>
      </w:r>
    </w:p>
    <w:p w:rsidR="006461EC" w:rsidRDefault="006461EC" w:rsidP="006461EC">
      <w:pPr>
        <w:rPr>
          <w:lang w:val="en-US"/>
        </w:rPr>
      </w:pPr>
      <w:r w:rsidRPr="006461EC">
        <w:rPr>
          <w:lang w:val="en-US"/>
        </w:rPr>
        <w:lastRenderedPageBreak/>
        <w:t xml:space="preserve">The initial luminescence brightness was improved </w:t>
      </w:r>
      <w:proofErr w:type="gramStart"/>
      <w:r w:rsidRPr="006461EC">
        <w:rPr>
          <w:lang w:val="en-US"/>
        </w:rPr>
        <w:t xml:space="preserve">from 48 </w:t>
      </w:r>
      <w:proofErr w:type="spellStart"/>
      <w:r w:rsidRPr="006461EC">
        <w:rPr>
          <w:lang w:val="en-US"/>
        </w:rPr>
        <w:t>a.u</w:t>
      </w:r>
      <w:proofErr w:type="spellEnd"/>
      <w:proofErr w:type="gramEnd"/>
      <w:r w:rsidRPr="006461EC">
        <w:rPr>
          <w:lang w:val="en-US"/>
        </w:rPr>
        <w:t xml:space="preserve"> to 147 </w:t>
      </w:r>
      <w:proofErr w:type="spellStart"/>
      <w:r w:rsidRPr="006461EC">
        <w:rPr>
          <w:lang w:val="en-US"/>
        </w:rPr>
        <w:t>a.u</w:t>
      </w:r>
      <w:proofErr w:type="spellEnd"/>
      <w:r w:rsidRPr="006461EC">
        <w:rPr>
          <w:lang w:val="en-US"/>
        </w:rPr>
        <w:t xml:space="preserve"> and the long afterglow time was prolonged from 10 ms to 20 </w:t>
      </w:r>
      <w:proofErr w:type="spellStart"/>
      <w:r w:rsidRPr="006461EC">
        <w:rPr>
          <w:lang w:val="en-US"/>
        </w:rPr>
        <w:t>ms.</w:t>
      </w:r>
      <w:proofErr w:type="spellEnd"/>
    </w:p>
    <w:p w:rsidR="006461EC" w:rsidRDefault="006461EC" w:rsidP="006461EC">
      <w:pPr>
        <w:jc w:val="both"/>
      </w:pPr>
    </w:p>
    <w:p w:rsidR="006461EC" w:rsidRDefault="00FC2AEB" w:rsidP="006461EC">
      <w:pPr>
        <w:jc w:val="center"/>
      </w:pPr>
      <w:r>
        <w:rPr>
          <w:noProof/>
          <w:lang w:val="en-ZA" w:eastAsia="en-ZA"/>
        </w:rPr>
        <w:drawing>
          <wp:inline distT="0" distB="0" distL="0" distR="0">
            <wp:extent cx="3810000" cy="3209925"/>
            <wp:effectExtent l="0" t="0" r="0" b="0"/>
            <wp:docPr id="101" name="Objec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3"/>
                    <pic:cNvPicPr>
                      <a:picLocks noChangeAspect="1" noChangeArrowheads="1"/>
                    </pic:cNvPicPr>
                  </pic:nvPicPr>
                  <pic:blipFill>
                    <a:blip r:embed="rId14"/>
                    <a:srcRect/>
                    <a:stretch>
                      <a:fillRect/>
                    </a:stretch>
                  </pic:blipFill>
                  <pic:spPr bwMode="auto">
                    <a:xfrm>
                      <a:off x="0" y="0"/>
                      <a:ext cx="3810000" cy="3209925"/>
                    </a:xfrm>
                    <a:prstGeom prst="rect">
                      <a:avLst/>
                    </a:prstGeom>
                    <a:noFill/>
                    <a:ln w="9525">
                      <a:noFill/>
                      <a:miter lim="800000"/>
                      <a:headEnd/>
                      <a:tailEnd/>
                    </a:ln>
                  </pic:spPr>
                </pic:pic>
              </a:graphicData>
            </a:graphic>
          </wp:inline>
        </w:drawing>
      </w:r>
    </w:p>
    <w:p w:rsidR="006461EC" w:rsidRPr="00732B07" w:rsidRDefault="006461EC" w:rsidP="006461EC">
      <w:pPr>
        <w:rPr>
          <w:rFonts w:cs="Times"/>
        </w:rPr>
      </w:pPr>
      <w:r>
        <w:rPr>
          <w:rFonts w:cs="Times"/>
        </w:rPr>
        <w:t xml:space="preserve">     </w:t>
      </w:r>
      <w:r w:rsidRPr="009F3E4E">
        <w:rPr>
          <w:rFonts w:cs="Times"/>
          <w:b/>
        </w:rPr>
        <w:t>Figure 5</w:t>
      </w:r>
      <w:r>
        <w:rPr>
          <w:rFonts w:cs="Times"/>
        </w:rPr>
        <w:t xml:space="preserve">: </w:t>
      </w:r>
      <w:r w:rsidRPr="00732B07">
        <w:rPr>
          <w:rFonts w:cs="Times"/>
        </w:rPr>
        <w:t xml:space="preserve"> Decay curves of CaAl</w:t>
      </w:r>
      <w:r>
        <w:rPr>
          <w:rFonts w:cs="Times"/>
          <w:vertAlign w:val="subscript"/>
        </w:rPr>
        <w:t>x</w:t>
      </w:r>
      <w:r w:rsidRPr="00732B07">
        <w:rPr>
          <w:rFonts w:cs="Times"/>
        </w:rPr>
        <w:t>O</w:t>
      </w:r>
      <w:r>
        <w:rPr>
          <w:rFonts w:cs="Times"/>
          <w:vertAlign w:val="subscript"/>
        </w:rPr>
        <w:t>y</w:t>
      </w:r>
      <w:proofErr w:type="gramStart"/>
      <w:r w:rsidRPr="00732B07">
        <w:rPr>
          <w:rFonts w:cs="Times"/>
        </w:rPr>
        <w:t>:Tb</w:t>
      </w:r>
      <w:r w:rsidRPr="00423C27">
        <w:rPr>
          <w:rFonts w:cs="Times"/>
          <w:vertAlign w:val="superscript"/>
        </w:rPr>
        <w:t>3</w:t>
      </w:r>
      <w:proofErr w:type="gramEnd"/>
      <w:r w:rsidRPr="00423C27">
        <w:rPr>
          <w:rFonts w:cs="Times"/>
          <w:vertAlign w:val="superscript"/>
        </w:rPr>
        <w:t>+</w:t>
      </w:r>
      <w:r w:rsidRPr="00732B07">
        <w:rPr>
          <w:rFonts w:cs="Times"/>
        </w:rPr>
        <w:t xml:space="preserve"> phosphor</w:t>
      </w:r>
      <w:r>
        <w:rPr>
          <w:rFonts w:cs="Times"/>
        </w:rPr>
        <w:t xml:space="preserve"> for different Tb concentration as indicated.</w:t>
      </w:r>
    </w:p>
    <w:p w:rsidR="006461EC" w:rsidRDefault="006461EC" w:rsidP="006461EC">
      <w:pPr>
        <w:rPr>
          <w:lang w:val="en-US"/>
        </w:rPr>
      </w:pPr>
    </w:p>
    <w:p w:rsidR="006461EC" w:rsidRPr="006461EC" w:rsidRDefault="006461EC" w:rsidP="006461EC">
      <w:pPr>
        <w:rPr>
          <w:b/>
          <w:lang w:val="en-US"/>
        </w:rPr>
      </w:pPr>
      <w:r w:rsidRPr="006461EC">
        <w:rPr>
          <w:b/>
          <w:lang w:val="en-US"/>
        </w:rPr>
        <w:t>4.  Conclusion</w:t>
      </w:r>
    </w:p>
    <w:p w:rsidR="006461EC" w:rsidRDefault="006461EC" w:rsidP="006461EC">
      <w:pPr>
        <w:rPr>
          <w:lang w:val="en-US"/>
        </w:rPr>
      </w:pPr>
      <w:r w:rsidRPr="006461EC">
        <w:rPr>
          <w:lang w:val="en-US"/>
        </w:rPr>
        <w:t>CaAl</w:t>
      </w:r>
      <w:r w:rsidRPr="006461EC">
        <w:rPr>
          <w:vertAlign w:val="subscript"/>
          <w:lang w:val="en-US"/>
        </w:rPr>
        <w:t>2</w:t>
      </w:r>
      <w:r w:rsidRPr="006461EC">
        <w:rPr>
          <w:lang w:val="en-US"/>
        </w:rPr>
        <w:t>O</w:t>
      </w:r>
      <w:r w:rsidRPr="006461EC">
        <w:rPr>
          <w:vertAlign w:val="subscript"/>
          <w:lang w:val="en-US"/>
        </w:rPr>
        <w:t>4</w:t>
      </w:r>
      <w:r w:rsidRPr="006461EC">
        <w:rPr>
          <w:lang w:val="en-US"/>
        </w:rPr>
        <w:t>:Tb</w:t>
      </w:r>
      <w:r w:rsidRPr="006461EC">
        <w:rPr>
          <w:vertAlign w:val="superscript"/>
          <w:lang w:val="en-US"/>
        </w:rPr>
        <w:t>3+</w:t>
      </w:r>
      <w:r w:rsidRPr="006461EC">
        <w:rPr>
          <w:lang w:val="en-US"/>
        </w:rPr>
        <w:t xml:space="preserve"> phosphor was successfully synthesized by the combustion method. The XRD results implied that the phosphor has a monoclinic structure. The increase of the Tb</w:t>
      </w:r>
      <w:r w:rsidRPr="006461EC">
        <w:rPr>
          <w:vertAlign w:val="superscript"/>
          <w:lang w:val="en-US"/>
        </w:rPr>
        <w:t>3+</w:t>
      </w:r>
      <w:r w:rsidRPr="006461EC">
        <w:rPr>
          <w:lang w:val="en-US"/>
        </w:rPr>
        <w:t xml:space="preserve"> concentration in the sample showed a significant enhancement in the emission intensity of the phosphor. The brightness and the afterglow properties were enhanced with a higher doping concentration of Tb</w:t>
      </w:r>
      <w:r w:rsidRPr="006461EC">
        <w:rPr>
          <w:vertAlign w:val="superscript"/>
          <w:lang w:val="en-US"/>
        </w:rPr>
        <w:t>3+</w:t>
      </w:r>
      <w:r w:rsidRPr="006461EC">
        <w:rPr>
          <w:lang w:val="en-US"/>
        </w:rPr>
        <w:t>.</w:t>
      </w:r>
    </w:p>
    <w:p w:rsidR="00D72075" w:rsidRPr="00D72075" w:rsidRDefault="00C85FC1" w:rsidP="009F3E4E">
      <w:pPr>
        <w:jc w:val="both"/>
        <w:rPr>
          <w:b/>
        </w:rPr>
      </w:pPr>
      <w:r w:rsidRPr="00C85FC1">
        <w:rPr>
          <w:i/>
          <w:noProof/>
        </w:rPr>
        <w:t xml:space="preserve">   </w:t>
      </w:r>
    </w:p>
    <w:p w:rsidR="00D72075" w:rsidRPr="00D72075" w:rsidRDefault="00D72075" w:rsidP="004721CF">
      <w:pPr>
        <w:jc w:val="both"/>
        <w:rPr>
          <w:b/>
        </w:rPr>
      </w:pPr>
      <w:r w:rsidRPr="00D72075">
        <w:rPr>
          <w:b/>
        </w:rPr>
        <w:t>Acknowledgement</w:t>
      </w:r>
    </w:p>
    <w:p w:rsidR="00D72075" w:rsidRPr="00D72075" w:rsidRDefault="00D72075" w:rsidP="004721CF">
      <w:pPr>
        <w:jc w:val="both"/>
      </w:pPr>
      <w:r w:rsidRPr="00D72075">
        <w:t>The authors send gratitude to the National Research Foundation (NRF) for funding the project and the University of Free St</w:t>
      </w:r>
      <w:r w:rsidR="009F3E4E">
        <w:t>ate Physics (Physics department</w:t>
      </w:r>
      <w:r w:rsidRPr="00D72075">
        <w:t>) for the research techniques used in this study.</w:t>
      </w:r>
    </w:p>
    <w:p w:rsidR="00D72075" w:rsidRPr="00D72075" w:rsidRDefault="00D72075" w:rsidP="00D72075">
      <w:pPr>
        <w:spacing w:before="240"/>
        <w:jc w:val="both"/>
        <w:rPr>
          <w:b/>
        </w:rPr>
      </w:pPr>
      <w:r w:rsidRPr="00D72075">
        <w:rPr>
          <w:b/>
        </w:rPr>
        <w:t>Reference</w:t>
      </w:r>
    </w:p>
    <w:p w:rsidR="00D72075" w:rsidRPr="00D72075" w:rsidRDefault="00D72075" w:rsidP="00D72075">
      <w:pPr>
        <w:ind w:left="720" w:hanging="720"/>
        <w:rPr>
          <w:rFonts w:eastAsia="Calibri"/>
        </w:rPr>
      </w:pPr>
      <w:r w:rsidRPr="00D72075">
        <w:t>[1]</w:t>
      </w:r>
      <w:r w:rsidRPr="00D72075">
        <w:rPr>
          <w:b/>
        </w:rPr>
        <w:tab/>
      </w:r>
      <w:r w:rsidR="009F3E4E" w:rsidRPr="009F3E4E">
        <w:t xml:space="preserve"> </w:t>
      </w:r>
      <w:proofErr w:type="spellStart"/>
      <w:r w:rsidR="009F3E4E" w:rsidRPr="009F3E4E">
        <w:rPr>
          <w:rFonts w:eastAsia="Calibri"/>
        </w:rPr>
        <w:t>Huajie</w:t>
      </w:r>
      <w:proofErr w:type="spellEnd"/>
      <w:r w:rsidR="009F3E4E" w:rsidRPr="009F3E4E">
        <w:rPr>
          <w:rFonts w:eastAsia="Calibri"/>
        </w:rPr>
        <w:t xml:space="preserve"> S</w:t>
      </w:r>
      <w:proofErr w:type="gramStart"/>
      <w:r w:rsidR="009F3E4E" w:rsidRPr="009F3E4E">
        <w:rPr>
          <w:rFonts w:eastAsia="Calibri"/>
        </w:rPr>
        <w:t xml:space="preserve">,  </w:t>
      </w:r>
      <w:proofErr w:type="spellStart"/>
      <w:r w:rsidR="009F3E4E" w:rsidRPr="009F3E4E">
        <w:rPr>
          <w:rFonts w:eastAsia="Calibri"/>
        </w:rPr>
        <w:t>Donghua</w:t>
      </w:r>
      <w:proofErr w:type="spellEnd"/>
      <w:proofErr w:type="gramEnd"/>
      <w:r w:rsidR="009F3E4E" w:rsidRPr="009F3E4E">
        <w:rPr>
          <w:rFonts w:eastAsia="Calibri"/>
        </w:rPr>
        <w:t xml:space="preserve"> C,  </w:t>
      </w:r>
      <w:proofErr w:type="spellStart"/>
      <w:r w:rsidR="009F3E4E" w:rsidRPr="009F3E4E">
        <w:rPr>
          <w:rFonts w:eastAsia="Calibri"/>
        </w:rPr>
        <w:t>Wangjun</w:t>
      </w:r>
      <w:proofErr w:type="spellEnd"/>
      <w:r w:rsidR="009F3E4E" w:rsidRPr="009F3E4E">
        <w:rPr>
          <w:rFonts w:eastAsia="Calibri"/>
        </w:rPr>
        <w:t xml:space="preserve"> T,  </w:t>
      </w:r>
      <w:proofErr w:type="spellStart"/>
      <w:r w:rsidR="009F3E4E" w:rsidRPr="009F3E4E">
        <w:rPr>
          <w:rFonts w:eastAsia="Calibri"/>
        </w:rPr>
        <w:t>Yuhua</w:t>
      </w:r>
      <w:proofErr w:type="spellEnd"/>
      <w:r w:rsidR="009F3E4E" w:rsidRPr="009F3E4E">
        <w:rPr>
          <w:rFonts w:eastAsia="Calibri"/>
        </w:rPr>
        <w:t xml:space="preserve"> P, </w:t>
      </w:r>
      <w:proofErr w:type="spellStart"/>
      <w:r w:rsidR="009F3E4E" w:rsidRPr="009F3E4E">
        <w:rPr>
          <w:rFonts w:eastAsia="Calibri"/>
        </w:rPr>
        <w:t>Displasys</w:t>
      </w:r>
      <w:proofErr w:type="spellEnd"/>
      <w:r w:rsidR="009F3E4E" w:rsidRPr="009F3E4E">
        <w:rPr>
          <w:rFonts w:eastAsia="Calibri"/>
        </w:rPr>
        <w:t xml:space="preserve"> </w:t>
      </w:r>
      <w:r w:rsidR="009F3E4E" w:rsidRPr="009F3E4E">
        <w:rPr>
          <w:rFonts w:eastAsia="Calibri"/>
          <w:b/>
        </w:rPr>
        <w:t xml:space="preserve">29 </w:t>
      </w:r>
      <w:r w:rsidR="009F3E4E" w:rsidRPr="009F3E4E">
        <w:rPr>
          <w:rFonts w:eastAsia="Calibri"/>
        </w:rPr>
        <w:t>(2008) 41-44.</w:t>
      </w:r>
    </w:p>
    <w:p w:rsidR="00D72075" w:rsidRPr="00D72075" w:rsidRDefault="00D72075" w:rsidP="00D72075">
      <w:pPr>
        <w:ind w:left="720" w:hanging="720"/>
        <w:jc w:val="both"/>
      </w:pPr>
      <w:r w:rsidRPr="00D72075">
        <w:t>[2]</w:t>
      </w:r>
      <w:r w:rsidRPr="00D72075">
        <w:tab/>
      </w:r>
      <w:proofErr w:type="spellStart"/>
      <w:r w:rsidR="009F3E4E" w:rsidRPr="009F3E4E">
        <w:rPr>
          <w:rFonts w:eastAsia="Calibri"/>
        </w:rPr>
        <w:t>Zhengwei</w:t>
      </w:r>
      <w:proofErr w:type="spellEnd"/>
      <w:r w:rsidR="009F3E4E" w:rsidRPr="009F3E4E">
        <w:rPr>
          <w:rFonts w:eastAsia="Calibri"/>
        </w:rPr>
        <w:t xml:space="preserve"> L</w:t>
      </w:r>
      <w:proofErr w:type="gramStart"/>
      <w:r w:rsidR="009F3E4E" w:rsidRPr="009F3E4E">
        <w:rPr>
          <w:rFonts w:eastAsia="Calibri"/>
        </w:rPr>
        <w:t xml:space="preserve">,  </w:t>
      </w:r>
      <w:proofErr w:type="spellStart"/>
      <w:r w:rsidR="009F3E4E" w:rsidRPr="009F3E4E">
        <w:rPr>
          <w:rFonts w:eastAsia="Calibri"/>
        </w:rPr>
        <w:t>Yingliang</w:t>
      </w:r>
      <w:proofErr w:type="spellEnd"/>
      <w:proofErr w:type="gramEnd"/>
      <w:r w:rsidR="009F3E4E" w:rsidRPr="009F3E4E">
        <w:rPr>
          <w:rFonts w:eastAsia="Calibri"/>
        </w:rPr>
        <w:t xml:space="preserve"> L, Materials Chemistry and physics</w:t>
      </w:r>
      <w:r w:rsidR="009F3E4E" w:rsidRPr="009F3E4E">
        <w:rPr>
          <w:rFonts w:eastAsia="Calibri"/>
          <w:b/>
        </w:rPr>
        <w:t xml:space="preserve"> 93</w:t>
      </w:r>
      <w:r w:rsidR="009F3E4E" w:rsidRPr="009F3E4E">
        <w:rPr>
          <w:rFonts w:eastAsia="Calibri"/>
        </w:rPr>
        <w:t xml:space="preserve"> (2005) 129-132.</w:t>
      </w:r>
    </w:p>
    <w:p w:rsidR="00D72075" w:rsidRPr="00D72075" w:rsidRDefault="00D72075" w:rsidP="00D72075">
      <w:pPr>
        <w:ind w:left="720" w:hanging="720"/>
        <w:rPr>
          <w:rFonts w:eastAsia="Calibri"/>
        </w:rPr>
      </w:pPr>
      <w:r w:rsidRPr="00D72075">
        <w:t xml:space="preserve">[3] </w:t>
      </w:r>
      <w:r w:rsidRPr="00D72075">
        <w:tab/>
      </w:r>
      <w:proofErr w:type="spellStart"/>
      <w:r w:rsidRPr="00D72075">
        <w:rPr>
          <w:rFonts w:eastAsia="Calibri"/>
        </w:rPr>
        <w:t>S</w:t>
      </w:r>
      <w:r w:rsidR="00C525D2">
        <w:rPr>
          <w:rFonts w:eastAsia="Calibri"/>
        </w:rPr>
        <w:t>Hideo</w:t>
      </w:r>
      <w:proofErr w:type="spellEnd"/>
      <w:r w:rsidR="00C525D2">
        <w:rPr>
          <w:rFonts w:eastAsia="Calibri"/>
        </w:rPr>
        <w:t xml:space="preserve"> H, </w:t>
      </w:r>
      <w:proofErr w:type="spellStart"/>
      <w:r w:rsidR="00C525D2">
        <w:rPr>
          <w:rFonts w:eastAsia="Calibri"/>
        </w:rPr>
        <w:t>Takeru</w:t>
      </w:r>
      <w:proofErr w:type="spellEnd"/>
      <w:r w:rsidR="00C525D2">
        <w:rPr>
          <w:rFonts w:eastAsia="Calibri"/>
        </w:rPr>
        <w:t xml:space="preserve"> K, Hiroshi K, Masaaki </w:t>
      </w:r>
      <w:proofErr w:type="spellStart"/>
      <w:r w:rsidR="00C525D2">
        <w:rPr>
          <w:rFonts w:eastAsia="Calibri"/>
        </w:rPr>
        <w:t>Y,Yoshinori</w:t>
      </w:r>
      <w:proofErr w:type="spellEnd"/>
      <w:r w:rsidR="00C525D2">
        <w:rPr>
          <w:rFonts w:eastAsia="Calibri"/>
        </w:rPr>
        <w:t xml:space="preserve"> Y, </w:t>
      </w:r>
      <w:proofErr w:type="spellStart"/>
      <w:r w:rsidR="00C525D2">
        <w:rPr>
          <w:rFonts w:eastAsia="Calibri"/>
        </w:rPr>
        <w:t>Naruhito</w:t>
      </w:r>
      <w:proofErr w:type="spellEnd"/>
      <w:r w:rsidR="00C525D2">
        <w:rPr>
          <w:rFonts w:eastAsia="Calibri"/>
        </w:rPr>
        <w:t xml:space="preserve"> S, </w:t>
      </w:r>
      <w:r w:rsidR="00C525D2" w:rsidRPr="00FC2AEB">
        <w:rPr>
          <w:rFonts w:eastAsia="Calibri"/>
          <w:i/>
        </w:rPr>
        <w:t>J. Phys</w:t>
      </w:r>
      <w:r w:rsidR="00FC2AEB" w:rsidRPr="00FC2AEB">
        <w:rPr>
          <w:rFonts w:eastAsia="Calibri"/>
          <w:i/>
        </w:rPr>
        <w:t xml:space="preserve">.: </w:t>
      </w:r>
      <w:proofErr w:type="spellStart"/>
      <w:r w:rsidR="00FC2AEB" w:rsidRPr="00FC2AEB">
        <w:rPr>
          <w:rFonts w:eastAsia="Calibri"/>
          <w:i/>
        </w:rPr>
        <w:t>Condens</w:t>
      </w:r>
      <w:proofErr w:type="spellEnd"/>
      <w:r w:rsidR="00FC2AEB" w:rsidRPr="00FC2AEB">
        <w:rPr>
          <w:rFonts w:eastAsia="Calibri"/>
          <w:i/>
        </w:rPr>
        <w:t>.</w:t>
      </w:r>
      <w:r w:rsidR="00FC2AEB">
        <w:rPr>
          <w:rFonts w:eastAsia="Calibri"/>
        </w:rPr>
        <w:t xml:space="preserve"> </w:t>
      </w:r>
      <w:r w:rsidR="00FC2AEB" w:rsidRPr="00FC2AEB">
        <w:rPr>
          <w:rFonts w:eastAsia="Calibri"/>
          <w:i/>
        </w:rPr>
        <w:t>Matter</w:t>
      </w:r>
      <w:r w:rsidR="00FC2AEB">
        <w:rPr>
          <w:rFonts w:eastAsia="Calibri"/>
        </w:rPr>
        <w:t xml:space="preserve"> </w:t>
      </w:r>
      <w:r w:rsidR="00FC2AEB" w:rsidRPr="00FC2AEB">
        <w:rPr>
          <w:rFonts w:eastAsia="Calibri"/>
          <w:b/>
        </w:rPr>
        <w:t>10</w:t>
      </w:r>
      <w:r w:rsidR="00FC2AEB">
        <w:rPr>
          <w:rFonts w:eastAsia="Calibri"/>
        </w:rPr>
        <w:t xml:space="preserve"> (1998) 9541-9547.</w:t>
      </w:r>
    </w:p>
    <w:p w:rsidR="00D72075" w:rsidRPr="00D72075" w:rsidRDefault="00D72075" w:rsidP="00D72075">
      <w:pPr>
        <w:ind w:left="720" w:hanging="720"/>
      </w:pPr>
      <w:r w:rsidRPr="00D72075">
        <w:t>[4]</w:t>
      </w:r>
      <w:r w:rsidRPr="00D72075">
        <w:tab/>
      </w:r>
      <w:proofErr w:type="spellStart"/>
      <w:r w:rsidR="00C525D2">
        <w:rPr>
          <w:rFonts w:eastAsia="Calibri"/>
        </w:rPr>
        <w:t>Xhuhui</w:t>
      </w:r>
      <w:proofErr w:type="spellEnd"/>
      <w:r w:rsidR="00C525D2">
        <w:rPr>
          <w:rFonts w:eastAsia="Calibri"/>
        </w:rPr>
        <w:t xml:space="preserve"> X, </w:t>
      </w:r>
      <w:proofErr w:type="spellStart"/>
      <w:r w:rsidR="00C525D2">
        <w:rPr>
          <w:rFonts w:eastAsia="Calibri"/>
        </w:rPr>
        <w:t>Yuhua</w:t>
      </w:r>
      <w:proofErr w:type="spellEnd"/>
      <w:r w:rsidR="00C525D2">
        <w:rPr>
          <w:rFonts w:eastAsia="Calibri"/>
        </w:rPr>
        <w:t xml:space="preserve"> W, </w:t>
      </w:r>
      <w:proofErr w:type="spellStart"/>
      <w:r w:rsidR="00C525D2">
        <w:rPr>
          <w:rFonts w:eastAsia="Calibri"/>
        </w:rPr>
        <w:t>Xue</w:t>
      </w:r>
      <w:proofErr w:type="spellEnd"/>
      <w:r w:rsidR="00C525D2">
        <w:rPr>
          <w:rFonts w:eastAsia="Calibri"/>
        </w:rPr>
        <w:t xml:space="preserve"> Y, </w:t>
      </w:r>
      <w:proofErr w:type="spellStart"/>
      <w:r w:rsidR="00C525D2">
        <w:rPr>
          <w:rFonts w:eastAsia="Calibri"/>
        </w:rPr>
        <w:t>Yanqin</w:t>
      </w:r>
      <w:proofErr w:type="spellEnd"/>
      <w:r w:rsidR="00C525D2">
        <w:rPr>
          <w:rFonts w:eastAsia="Calibri"/>
        </w:rPr>
        <w:t xml:space="preserve"> L, Yu G</w:t>
      </w:r>
      <w:r w:rsidR="00C525D2" w:rsidRPr="00C525D2">
        <w:rPr>
          <w:rFonts w:eastAsia="Calibri"/>
          <w:i/>
        </w:rPr>
        <w:t xml:space="preserve">, J. Am. </w:t>
      </w:r>
      <w:proofErr w:type="spellStart"/>
      <w:r w:rsidR="00C525D2" w:rsidRPr="00C525D2">
        <w:rPr>
          <w:rFonts w:eastAsia="Calibri"/>
          <w:i/>
        </w:rPr>
        <w:t>Ceram.Soc</w:t>
      </w:r>
      <w:proofErr w:type="spellEnd"/>
      <w:r w:rsidR="00C525D2">
        <w:rPr>
          <w:rFonts w:eastAsia="Calibri"/>
        </w:rPr>
        <w:t>, 1-4 (2010)</w:t>
      </w:r>
    </w:p>
    <w:p w:rsidR="00D72075" w:rsidRPr="00D72075" w:rsidRDefault="009F3E4E" w:rsidP="00D72075">
      <w:pPr>
        <w:ind w:left="720" w:hanging="720"/>
        <w:jc w:val="both"/>
      </w:pPr>
      <w:r>
        <w:t>[5]</w:t>
      </w:r>
      <w:r>
        <w:tab/>
      </w:r>
      <w:r w:rsidRPr="009F3E4E">
        <w:t xml:space="preserve">Zhang Y, Li L, Zhang X, Wang D, Zhang S, </w:t>
      </w:r>
      <w:r w:rsidRPr="00C525D2">
        <w:rPr>
          <w:i/>
        </w:rPr>
        <w:t xml:space="preserve">Journal of Rare </w:t>
      </w:r>
      <w:proofErr w:type="spellStart"/>
      <w:r w:rsidRPr="00C525D2">
        <w:rPr>
          <w:i/>
        </w:rPr>
        <w:t>Earths,Vol</w:t>
      </w:r>
      <w:proofErr w:type="spellEnd"/>
      <w:r w:rsidRPr="009F3E4E">
        <w:t xml:space="preserve">. </w:t>
      </w:r>
      <w:r w:rsidRPr="009F3E4E">
        <w:rPr>
          <w:b/>
        </w:rPr>
        <w:t>26</w:t>
      </w:r>
      <w:r w:rsidRPr="009F3E4E">
        <w:t xml:space="preserve"> No 5, Oct. 2008, p.656.</w:t>
      </w:r>
    </w:p>
    <w:p w:rsidR="00D72075" w:rsidRPr="00D72075" w:rsidRDefault="00D72075" w:rsidP="00E2257E">
      <w:pPr>
        <w:ind w:left="720" w:hanging="720"/>
        <w:rPr>
          <w:rFonts w:eastAsia="Calibri"/>
        </w:rPr>
      </w:pPr>
      <w:r w:rsidRPr="00D72075">
        <w:t>[6]</w:t>
      </w:r>
      <w:r w:rsidRPr="00D72075">
        <w:tab/>
      </w:r>
      <w:r w:rsidRPr="00D72075">
        <w:rPr>
          <w:rFonts w:eastAsia="Calibri"/>
        </w:rPr>
        <w:t>S</w:t>
      </w:r>
      <w:r w:rsidR="009F3E4E" w:rsidRPr="009F3E4E">
        <w:rPr>
          <w:rFonts w:cs="Times"/>
        </w:rPr>
        <w:t xml:space="preserve"> </w:t>
      </w:r>
      <w:r w:rsidR="009F3E4E" w:rsidRPr="00732B07">
        <w:rPr>
          <w:rFonts w:cs="Times"/>
        </w:rPr>
        <w:t>Shin-</w:t>
      </w:r>
      <w:proofErr w:type="spellStart"/>
      <w:r w:rsidR="009F3E4E" w:rsidRPr="00732B07">
        <w:rPr>
          <w:rFonts w:cs="Times"/>
        </w:rPr>
        <w:t>Hei</w:t>
      </w:r>
      <w:proofErr w:type="spellEnd"/>
      <w:r w:rsidR="009F3E4E" w:rsidRPr="00732B07">
        <w:rPr>
          <w:rFonts w:cs="Times"/>
        </w:rPr>
        <w:t xml:space="preserve"> C, Nam-Hoon </w:t>
      </w:r>
      <w:r w:rsidR="009F3E4E">
        <w:rPr>
          <w:rFonts w:cs="Times"/>
        </w:rPr>
        <w:t>Y</w:t>
      </w:r>
      <w:r w:rsidR="009F3E4E" w:rsidRPr="00732B07">
        <w:rPr>
          <w:rFonts w:cs="Times"/>
        </w:rPr>
        <w:t>, Young-</w:t>
      </w:r>
      <w:proofErr w:type="spellStart"/>
      <w:r w:rsidR="009F3E4E" w:rsidRPr="00732B07">
        <w:rPr>
          <w:rFonts w:cs="Times"/>
        </w:rPr>
        <w:t>Hoon</w:t>
      </w:r>
      <w:proofErr w:type="spellEnd"/>
      <w:r w:rsidR="009F3E4E" w:rsidRPr="00732B07">
        <w:rPr>
          <w:rFonts w:cs="Times"/>
        </w:rPr>
        <w:t xml:space="preserve"> Y and Sung-Churl </w:t>
      </w:r>
      <w:r w:rsidR="009F3E4E">
        <w:rPr>
          <w:rFonts w:cs="Times"/>
        </w:rPr>
        <w:t>C</w:t>
      </w:r>
      <w:r w:rsidR="009F3E4E" w:rsidRPr="00732B07">
        <w:rPr>
          <w:rFonts w:cs="Times"/>
        </w:rPr>
        <w:t xml:space="preserve">, </w:t>
      </w:r>
      <w:r w:rsidR="009F3E4E" w:rsidRPr="000A040C">
        <w:rPr>
          <w:rFonts w:cs="Times"/>
          <w:i/>
        </w:rPr>
        <w:t>Journal of Ceramic Processing</w:t>
      </w:r>
      <w:r w:rsidR="009F3E4E" w:rsidRPr="00FC5760">
        <w:rPr>
          <w:rFonts w:cs="Times"/>
        </w:rPr>
        <w:t xml:space="preserve"> </w:t>
      </w:r>
      <w:r w:rsidR="009F3E4E" w:rsidRPr="000A040C">
        <w:rPr>
          <w:rFonts w:cs="Times"/>
          <w:i/>
        </w:rPr>
        <w:t>Research.</w:t>
      </w:r>
      <w:r w:rsidR="009F3E4E" w:rsidRPr="00FC5760">
        <w:rPr>
          <w:rFonts w:cs="Times"/>
        </w:rPr>
        <w:t xml:space="preserve"> </w:t>
      </w:r>
      <w:proofErr w:type="gramStart"/>
      <w:r w:rsidR="009F3E4E" w:rsidRPr="00FC5760">
        <w:rPr>
          <w:rFonts w:cs="Times"/>
        </w:rPr>
        <w:t xml:space="preserve">Vol. </w:t>
      </w:r>
      <w:r w:rsidR="009F3E4E" w:rsidRPr="000A040C">
        <w:rPr>
          <w:rFonts w:cs="Times"/>
          <w:b/>
        </w:rPr>
        <w:t>7</w:t>
      </w:r>
      <w:r w:rsidR="009F3E4E" w:rsidRPr="00FC5760">
        <w:rPr>
          <w:rFonts w:cs="Times"/>
        </w:rPr>
        <w:t>, No.1, (2006)</w:t>
      </w:r>
      <w:r w:rsidR="009F3E4E">
        <w:rPr>
          <w:rFonts w:cs="Times"/>
        </w:rPr>
        <w:t xml:space="preserve"> </w:t>
      </w:r>
      <w:r w:rsidR="009F3E4E" w:rsidRPr="00FC5760">
        <w:rPr>
          <w:rFonts w:cs="Times"/>
        </w:rPr>
        <w:t>pp. 62-65.</w:t>
      </w:r>
      <w:proofErr w:type="gramEnd"/>
    </w:p>
    <w:p w:rsidR="00EB7055" w:rsidRDefault="00EB7055" w:rsidP="00EB7055">
      <w:pPr>
        <w:ind w:left="720" w:hanging="720"/>
        <w:rPr>
          <w:rFonts w:cs="Times"/>
        </w:rPr>
      </w:pPr>
      <w:r>
        <w:t>[7]</w:t>
      </w:r>
      <w:r>
        <w:tab/>
      </w:r>
      <w:r w:rsidRPr="00EB7055">
        <w:rPr>
          <w:rFonts w:cs="Times"/>
        </w:rPr>
        <w:t xml:space="preserve"> </w:t>
      </w:r>
      <w:proofErr w:type="spellStart"/>
      <w:r w:rsidRPr="00732B07">
        <w:rPr>
          <w:rFonts w:cs="Times"/>
        </w:rPr>
        <w:t>Huajie</w:t>
      </w:r>
      <w:proofErr w:type="spellEnd"/>
      <w:r w:rsidRPr="00732B07">
        <w:rPr>
          <w:rFonts w:cs="Times"/>
        </w:rPr>
        <w:t xml:space="preserve"> S, </w:t>
      </w:r>
      <w:proofErr w:type="spellStart"/>
      <w:r w:rsidRPr="00732B07">
        <w:rPr>
          <w:rFonts w:cs="Times"/>
        </w:rPr>
        <w:t>Donghua</w:t>
      </w:r>
      <w:proofErr w:type="spellEnd"/>
      <w:r w:rsidRPr="00732B07">
        <w:rPr>
          <w:rFonts w:cs="Times"/>
        </w:rPr>
        <w:t xml:space="preserve"> C, </w:t>
      </w:r>
      <w:r w:rsidRPr="000A040C">
        <w:rPr>
          <w:rFonts w:cs="Times"/>
          <w:i/>
        </w:rPr>
        <w:t>Luminescence</w:t>
      </w:r>
      <w:r w:rsidRPr="00732B07">
        <w:rPr>
          <w:rFonts w:cs="Times"/>
        </w:rPr>
        <w:t xml:space="preserve"> 2007; </w:t>
      </w:r>
      <w:r w:rsidRPr="000A040C">
        <w:rPr>
          <w:rFonts w:cs="Times"/>
          <w:b/>
        </w:rPr>
        <w:t>22</w:t>
      </w:r>
      <w:r w:rsidRPr="00732B07">
        <w:rPr>
          <w:rFonts w:cs="Times"/>
        </w:rPr>
        <w:t>: 554-558.</w:t>
      </w:r>
    </w:p>
    <w:p w:rsidR="00EB7055" w:rsidRDefault="00EB7055" w:rsidP="00EB7055">
      <w:pPr>
        <w:ind w:left="720" w:hanging="720"/>
        <w:rPr>
          <w:rFonts w:cs="Times"/>
        </w:rPr>
      </w:pPr>
      <w:r>
        <w:rPr>
          <w:rFonts w:cs="Times"/>
        </w:rPr>
        <w:t>[8]</w:t>
      </w:r>
      <w:r>
        <w:rPr>
          <w:rFonts w:cs="Times"/>
        </w:rPr>
        <w:tab/>
      </w:r>
      <w:r w:rsidRPr="00732B07">
        <w:rPr>
          <w:rFonts w:cs="Times"/>
        </w:rPr>
        <w:t>Barrow</w:t>
      </w:r>
      <w:r>
        <w:rPr>
          <w:rFonts w:cs="Times"/>
        </w:rPr>
        <w:t xml:space="preserve">s </w:t>
      </w:r>
      <w:r w:rsidRPr="00732B07">
        <w:rPr>
          <w:rFonts w:cs="Times"/>
        </w:rPr>
        <w:t>B</w:t>
      </w:r>
      <w:r>
        <w:rPr>
          <w:rFonts w:cs="Times"/>
        </w:rPr>
        <w:t xml:space="preserve"> </w:t>
      </w:r>
      <w:r w:rsidRPr="00732B07">
        <w:rPr>
          <w:rFonts w:cs="Times"/>
        </w:rPr>
        <w:t xml:space="preserve">S, </w:t>
      </w:r>
      <w:proofErr w:type="spellStart"/>
      <w:r w:rsidRPr="00732B07">
        <w:rPr>
          <w:rFonts w:cs="Times"/>
        </w:rPr>
        <w:t>melo</w:t>
      </w:r>
      <w:proofErr w:type="spellEnd"/>
      <w:r w:rsidRPr="00732B07">
        <w:rPr>
          <w:rFonts w:cs="Times"/>
        </w:rPr>
        <w:t xml:space="preserve"> P</w:t>
      </w:r>
      <w:r>
        <w:rPr>
          <w:rFonts w:cs="Times"/>
        </w:rPr>
        <w:t xml:space="preserve"> </w:t>
      </w:r>
      <w:r w:rsidRPr="00732B07">
        <w:rPr>
          <w:rFonts w:cs="Times"/>
        </w:rPr>
        <w:t>S</w:t>
      </w:r>
      <w:r>
        <w:rPr>
          <w:rFonts w:cs="Times"/>
        </w:rPr>
        <w:t xml:space="preserve"> </w:t>
      </w:r>
      <w:r w:rsidRPr="00732B07">
        <w:rPr>
          <w:rFonts w:cs="Times"/>
        </w:rPr>
        <w:t>,</w:t>
      </w:r>
      <w:r w:rsidRPr="00FA3090">
        <w:rPr>
          <w:rFonts w:cs="Times"/>
        </w:rPr>
        <w:t xml:space="preserve"> </w:t>
      </w:r>
      <w:proofErr w:type="spellStart"/>
      <w:r w:rsidRPr="00732B07">
        <w:rPr>
          <w:rFonts w:cs="Times"/>
        </w:rPr>
        <w:t>Kiminami</w:t>
      </w:r>
      <w:proofErr w:type="spellEnd"/>
      <w:r w:rsidRPr="00732B07">
        <w:rPr>
          <w:rFonts w:cs="Times"/>
        </w:rPr>
        <w:t xml:space="preserve"> R</w:t>
      </w:r>
      <w:r>
        <w:rPr>
          <w:rFonts w:cs="Times"/>
        </w:rPr>
        <w:t xml:space="preserve"> </w:t>
      </w:r>
      <w:r w:rsidRPr="00732B07">
        <w:rPr>
          <w:rFonts w:cs="Times"/>
        </w:rPr>
        <w:t>H</w:t>
      </w:r>
      <w:r>
        <w:rPr>
          <w:rFonts w:cs="Times"/>
        </w:rPr>
        <w:t xml:space="preserve"> </w:t>
      </w:r>
      <w:r w:rsidRPr="00732B07">
        <w:rPr>
          <w:rFonts w:cs="Times"/>
        </w:rPr>
        <w:t>G</w:t>
      </w:r>
      <w:r>
        <w:rPr>
          <w:rFonts w:cs="Times"/>
        </w:rPr>
        <w:t xml:space="preserve"> </w:t>
      </w:r>
      <w:r w:rsidRPr="00732B07">
        <w:rPr>
          <w:rFonts w:cs="Times"/>
        </w:rPr>
        <w:t>A,</w:t>
      </w:r>
      <w:r w:rsidRPr="00FA3090">
        <w:rPr>
          <w:rFonts w:cs="Times"/>
        </w:rPr>
        <w:t xml:space="preserve"> </w:t>
      </w:r>
      <w:r w:rsidRPr="00732B07">
        <w:rPr>
          <w:rFonts w:cs="Times"/>
        </w:rPr>
        <w:t>Costa A</w:t>
      </w:r>
      <w:r>
        <w:rPr>
          <w:rFonts w:cs="Times"/>
        </w:rPr>
        <w:t xml:space="preserve"> </w:t>
      </w:r>
      <w:r w:rsidRPr="00732B07">
        <w:rPr>
          <w:rFonts w:cs="Times"/>
        </w:rPr>
        <w:t>C F</w:t>
      </w:r>
      <w:r>
        <w:rPr>
          <w:rFonts w:cs="Times"/>
        </w:rPr>
        <w:t xml:space="preserve"> </w:t>
      </w:r>
      <w:r w:rsidRPr="00732B07">
        <w:rPr>
          <w:rFonts w:cs="Times"/>
        </w:rPr>
        <w:t xml:space="preserve">M, de </w:t>
      </w:r>
      <w:proofErr w:type="spellStart"/>
      <w:r w:rsidRPr="00732B07">
        <w:rPr>
          <w:rFonts w:cs="Times"/>
        </w:rPr>
        <w:t>Sá</w:t>
      </w:r>
      <w:proofErr w:type="spellEnd"/>
      <w:r w:rsidRPr="00732B07">
        <w:rPr>
          <w:rFonts w:cs="Times"/>
        </w:rPr>
        <w:t xml:space="preserve"> G F,  </w:t>
      </w:r>
      <w:proofErr w:type="spellStart"/>
      <w:r w:rsidRPr="00732B07">
        <w:rPr>
          <w:rFonts w:cs="Times"/>
        </w:rPr>
        <w:t>Alves</w:t>
      </w:r>
      <w:proofErr w:type="spellEnd"/>
      <w:r w:rsidRPr="00732B07">
        <w:rPr>
          <w:rFonts w:cs="Times"/>
        </w:rPr>
        <w:t xml:space="preserve"> </w:t>
      </w:r>
      <w:proofErr w:type="spellStart"/>
      <w:r w:rsidRPr="00732B07">
        <w:rPr>
          <w:rFonts w:cs="Times"/>
        </w:rPr>
        <w:t>Jr</w:t>
      </w:r>
      <w:proofErr w:type="spellEnd"/>
      <w:r>
        <w:rPr>
          <w:rFonts w:cs="Times"/>
        </w:rPr>
        <w:t xml:space="preserve"> S</w:t>
      </w:r>
      <w:r w:rsidRPr="00732B07">
        <w:rPr>
          <w:rFonts w:cs="Times"/>
        </w:rPr>
        <w:t xml:space="preserve">, </w:t>
      </w:r>
      <w:r w:rsidRPr="000A040C">
        <w:rPr>
          <w:rFonts w:cs="Times"/>
          <w:i/>
        </w:rPr>
        <w:t xml:space="preserve">J </w:t>
      </w:r>
      <w:r>
        <w:rPr>
          <w:rFonts w:cs="Times"/>
        </w:rPr>
        <w:t xml:space="preserve">         </w:t>
      </w:r>
      <w:r w:rsidRPr="000A040C">
        <w:rPr>
          <w:rFonts w:cs="Times"/>
          <w:i/>
        </w:rPr>
        <w:t xml:space="preserve">Mater </w:t>
      </w:r>
      <w:proofErr w:type="spellStart"/>
      <w:r w:rsidRPr="000A040C">
        <w:rPr>
          <w:rFonts w:cs="Times"/>
          <w:i/>
        </w:rPr>
        <w:t>Sci</w:t>
      </w:r>
      <w:proofErr w:type="spellEnd"/>
      <w:r w:rsidRPr="00732B07">
        <w:rPr>
          <w:rFonts w:cs="Times"/>
        </w:rPr>
        <w:t xml:space="preserve"> (2006) </w:t>
      </w:r>
      <w:r w:rsidRPr="000A040C">
        <w:rPr>
          <w:rFonts w:cs="Times"/>
          <w:b/>
        </w:rPr>
        <w:t>41</w:t>
      </w:r>
      <w:r w:rsidRPr="00732B07">
        <w:rPr>
          <w:rFonts w:cs="Times"/>
        </w:rPr>
        <w:t>:4744-4748.</w:t>
      </w:r>
    </w:p>
    <w:p w:rsidR="00EB7055" w:rsidRDefault="00EB7055" w:rsidP="00EB7055">
      <w:pPr>
        <w:ind w:left="720" w:hanging="720"/>
        <w:rPr>
          <w:rFonts w:cs="Times"/>
        </w:rPr>
      </w:pPr>
    </w:p>
    <w:p w:rsidR="00D72075" w:rsidRPr="00D72075" w:rsidRDefault="00D72075" w:rsidP="00D72075">
      <w:pPr>
        <w:ind w:left="720" w:hanging="720"/>
        <w:jc w:val="both"/>
      </w:pPr>
    </w:p>
    <w:p w:rsidR="00D72075" w:rsidRDefault="00D72075">
      <w:pPr>
        <w:pStyle w:val="Sectionnonumber"/>
      </w:pPr>
    </w:p>
    <w:sectPr w:rsidR="00D72075" w:rsidSect="00B51897">
      <w:headerReference w:type="even" r:id="rId15"/>
      <w:headerReference w:type="default" r:id="rId1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EE5" w:rsidRDefault="00573EE5">
      <w:r>
        <w:separator/>
      </w:r>
    </w:p>
  </w:endnote>
  <w:endnote w:type="continuationSeparator" w:id="1">
    <w:p w:rsidR="00573EE5" w:rsidRDefault="00573E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Sabon">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EE5" w:rsidRPr="00043761" w:rsidRDefault="00573EE5">
      <w:pPr>
        <w:pStyle w:val="Bulleted"/>
        <w:numPr>
          <w:ilvl w:val="0"/>
          <w:numId w:val="0"/>
        </w:numPr>
        <w:rPr>
          <w:rFonts w:ascii="Sabon" w:hAnsi="Sabon"/>
          <w:color w:val="auto"/>
          <w:szCs w:val="20"/>
        </w:rPr>
      </w:pPr>
      <w:r>
        <w:separator/>
      </w:r>
    </w:p>
  </w:footnote>
  <w:footnote w:type="continuationSeparator" w:id="1">
    <w:p w:rsidR="00573EE5" w:rsidRDefault="00573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57" w:rsidRDefault="00455BD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57" w:rsidRDefault="00455BD9"/>
  <w:p w:rsidR="00052A57" w:rsidRDefault="00455BD9"/>
  <w:p w:rsidR="00052A57" w:rsidRDefault="00455BD9"/>
  <w:p w:rsidR="00052A57" w:rsidRDefault="00455BD9"/>
  <w:p w:rsidR="00052A57" w:rsidRDefault="00455BD9"/>
  <w:p w:rsidR="00052A57" w:rsidRDefault="00455BD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6D6C5F2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defaultTabStop w:val="851"/>
  <w:displayHorizontalDrawingGridEvery w:val="0"/>
  <w:displayVerticalDrawingGridEvery w:val="0"/>
  <w:doNotUseMarginsForDrawingGridOrigin/>
  <w:noPunctuationKerning/>
  <w:characterSpacingControl w:val="doNotCompress"/>
  <w:footnotePr>
    <w:pos w:val="beneathText"/>
    <w:footnote w:id="0"/>
    <w:footnote w:id="1"/>
  </w:footnotePr>
  <w:endnotePr>
    <w:numFmt w:val="chicago"/>
    <w:numStart w:val="4"/>
    <w:endnote w:id="0"/>
    <w:endnote w:id="1"/>
  </w:endnotePr>
  <w:compat/>
  <w:rsids>
    <w:rsidRoot w:val="00AC278A"/>
    <w:rsid w:val="000866D9"/>
    <w:rsid w:val="001A494D"/>
    <w:rsid w:val="0025796B"/>
    <w:rsid w:val="0030506C"/>
    <w:rsid w:val="0033029C"/>
    <w:rsid w:val="00413B9A"/>
    <w:rsid w:val="00455BD9"/>
    <w:rsid w:val="004721CF"/>
    <w:rsid w:val="00573EE5"/>
    <w:rsid w:val="00583577"/>
    <w:rsid w:val="006461EC"/>
    <w:rsid w:val="006A5C9F"/>
    <w:rsid w:val="007707CB"/>
    <w:rsid w:val="009C2B5F"/>
    <w:rsid w:val="009F3E4E"/>
    <w:rsid w:val="00AC278A"/>
    <w:rsid w:val="00B51897"/>
    <w:rsid w:val="00BF71D5"/>
    <w:rsid w:val="00C525D2"/>
    <w:rsid w:val="00C85FC1"/>
    <w:rsid w:val="00D60118"/>
    <w:rsid w:val="00D72075"/>
    <w:rsid w:val="00E2257E"/>
    <w:rsid w:val="00E84B92"/>
    <w:rsid w:val="00EB7055"/>
    <w:rsid w:val="00EE7083"/>
    <w:rsid w:val="00FC2A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897"/>
    <w:rPr>
      <w:rFonts w:ascii="Times" w:hAnsi="Times"/>
      <w:sz w:val="22"/>
      <w:lang w:val="en-GB"/>
    </w:rPr>
  </w:style>
  <w:style w:type="paragraph" w:styleId="Heading1">
    <w:name w:val="heading 1"/>
    <w:basedOn w:val="Normal"/>
    <w:next w:val="Normal"/>
    <w:qFormat/>
    <w:rsid w:val="00B51897"/>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B51897"/>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B51897"/>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51897"/>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B51897"/>
    <w:pPr>
      <w:numPr>
        <w:ilvl w:val="4"/>
        <w:numId w:val="1"/>
      </w:numPr>
      <w:spacing w:before="240" w:after="60"/>
      <w:outlineLvl w:val="4"/>
    </w:pPr>
    <w:rPr>
      <w:b/>
      <w:bCs/>
      <w:i/>
      <w:iCs/>
      <w:sz w:val="26"/>
      <w:szCs w:val="26"/>
    </w:rPr>
  </w:style>
  <w:style w:type="paragraph" w:styleId="Heading6">
    <w:name w:val="heading 6"/>
    <w:basedOn w:val="Normal"/>
    <w:next w:val="Normal"/>
    <w:qFormat/>
    <w:rsid w:val="00B51897"/>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B51897"/>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B51897"/>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B51897"/>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B51897"/>
    <w:pPr>
      <w:numPr>
        <w:ilvl w:val="2"/>
        <w:numId w:val="3"/>
      </w:numPr>
      <w:spacing w:before="240"/>
    </w:pPr>
    <w:rPr>
      <w:rFonts w:ascii="Times" w:hAnsi="Times"/>
      <w:i/>
      <w:iCs/>
      <w:color w:val="000000"/>
      <w:sz w:val="22"/>
      <w:szCs w:val="22"/>
      <w:lang w:val="en-GB"/>
    </w:rPr>
  </w:style>
  <w:style w:type="paragraph" w:customStyle="1" w:styleId="Bodytext">
    <w:name w:val="Bodytext"/>
    <w:next w:val="BodytextIndented"/>
    <w:rsid w:val="00B51897"/>
    <w:pPr>
      <w:jc w:val="both"/>
    </w:pPr>
    <w:rPr>
      <w:rFonts w:ascii="Times" w:hAnsi="Times"/>
      <w:iCs/>
      <w:color w:val="000000"/>
      <w:sz w:val="22"/>
      <w:szCs w:val="22"/>
    </w:rPr>
  </w:style>
  <w:style w:type="paragraph" w:customStyle="1" w:styleId="BodytextIndented">
    <w:name w:val="BodytextIndented"/>
    <w:basedOn w:val="Bodytext"/>
    <w:rsid w:val="00B51897"/>
    <w:pPr>
      <w:ind w:firstLine="284"/>
    </w:pPr>
  </w:style>
  <w:style w:type="character" w:customStyle="1" w:styleId="SubsubsectionChar">
    <w:name w:val="Subsubsection Char"/>
    <w:basedOn w:val="DefaultParagraphFont"/>
    <w:link w:val="Subsubsection"/>
    <w:rsid w:val="00B51897"/>
    <w:rPr>
      <w:rFonts w:ascii="Times" w:hAnsi="Times"/>
      <w:i/>
      <w:iCs/>
      <w:color w:val="000000"/>
      <w:sz w:val="22"/>
      <w:szCs w:val="22"/>
      <w:lang w:val="en-GB" w:eastAsia="en-US" w:bidi="ar-SA"/>
    </w:rPr>
  </w:style>
  <w:style w:type="paragraph" w:customStyle="1" w:styleId="Section">
    <w:name w:val="Section"/>
    <w:next w:val="Bodytext"/>
    <w:rsid w:val="00B51897"/>
    <w:pPr>
      <w:numPr>
        <w:numId w:val="3"/>
      </w:numPr>
      <w:spacing w:before="240"/>
    </w:pPr>
    <w:rPr>
      <w:rFonts w:ascii="Times" w:hAnsi="Times"/>
      <w:b/>
      <w:iCs/>
      <w:color w:val="000000"/>
      <w:sz w:val="22"/>
      <w:szCs w:val="22"/>
      <w:lang w:val="en-GB"/>
    </w:rPr>
  </w:style>
  <w:style w:type="paragraph" w:styleId="FootnoteText">
    <w:name w:val="footnote text"/>
    <w:basedOn w:val="Normal"/>
    <w:semiHidden/>
    <w:rsid w:val="00B51897"/>
    <w:rPr>
      <w:sz w:val="20"/>
    </w:rPr>
  </w:style>
  <w:style w:type="character" w:styleId="FootnoteReference">
    <w:name w:val="footnote reference"/>
    <w:basedOn w:val="DefaultParagraphFont"/>
    <w:semiHidden/>
    <w:rsid w:val="00B51897"/>
    <w:rPr>
      <w:rFonts w:ascii="Times New Roman" w:hAnsi="Times New Roman"/>
      <w:sz w:val="22"/>
      <w:szCs w:val="22"/>
      <w:vertAlign w:val="superscript"/>
    </w:rPr>
  </w:style>
  <w:style w:type="paragraph" w:customStyle="1" w:styleId="Bulleted">
    <w:name w:val="Bulleted"/>
    <w:rsid w:val="00B51897"/>
    <w:pPr>
      <w:numPr>
        <w:numId w:val="2"/>
      </w:numPr>
      <w:jc w:val="both"/>
    </w:pPr>
    <w:rPr>
      <w:rFonts w:ascii="Times" w:hAnsi="Times"/>
      <w:color w:val="000000"/>
      <w:sz w:val="22"/>
      <w:szCs w:val="22"/>
      <w:lang w:val="en-GB"/>
    </w:rPr>
  </w:style>
  <w:style w:type="paragraph" w:styleId="EndnoteText">
    <w:name w:val="endnote text"/>
    <w:basedOn w:val="Normal"/>
    <w:semiHidden/>
    <w:rsid w:val="00B51897"/>
    <w:rPr>
      <w:sz w:val="20"/>
    </w:rPr>
  </w:style>
  <w:style w:type="character" w:styleId="EndnoteReference">
    <w:name w:val="endnote reference"/>
    <w:basedOn w:val="DefaultParagraphFont"/>
    <w:semiHidden/>
    <w:rsid w:val="00B51897"/>
    <w:rPr>
      <w:vertAlign w:val="superscript"/>
    </w:rPr>
  </w:style>
  <w:style w:type="paragraph" w:customStyle="1" w:styleId="Subsection">
    <w:name w:val="Subsection"/>
    <w:next w:val="Bodytext"/>
    <w:rsid w:val="00B51897"/>
    <w:pPr>
      <w:numPr>
        <w:ilvl w:val="1"/>
        <w:numId w:val="3"/>
      </w:numPr>
      <w:spacing w:before="240"/>
    </w:pPr>
    <w:rPr>
      <w:rFonts w:ascii="Times" w:hAnsi="Times"/>
      <w:iCs/>
      <w:color w:val="000000"/>
      <w:sz w:val="22"/>
      <w:szCs w:val="22"/>
      <w:lang w:val="en-GB"/>
    </w:rPr>
  </w:style>
  <w:style w:type="paragraph" w:customStyle="1" w:styleId="E-mail">
    <w:name w:val="E-mail"/>
    <w:next w:val="Abstract"/>
    <w:rsid w:val="00B51897"/>
    <w:pPr>
      <w:spacing w:after="240"/>
      <w:ind w:left="1418"/>
    </w:pPr>
    <w:rPr>
      <w:rFonts w:ascii="Times" w:hAnsi="Times"/>
      <w:noProof/>
      <w:sz w:val="22"/>
      <w:szCs w:val="22"/>
    </w:rPr>
  </w:style>
  <w:style w:type="paragraph" w:customStyle="1" w:styleId="Abstract">
    <w:name w:val="Abstract"/>
    <w:next w:val="Section"/>
    <w:rsid w:val="00B51897"/>
    <w:pPr>
      <w:spacing w:after="454"/>
      <w:ind w:left="1418"/>
      <w:jc w:val="both"/>
    </w:pPr>
    <w:rPr>
      <w:rFonts w:ascii="Times" w:hAnsi="Times"/>
      <w:color w:val="000000"/>
      <w:lang w:val="en-GB"/>
    </w:rPr>
  </w:style>
  <w:style w:type="paragraph" w:customStyle="1" w:styleId="Sectionnonumber">
    <w:name w:val="Section (no number)"/>
    <w:next w:val="Bodytext"/>
    <w:rsid w:val="00B51897"/>
    <w:pPr>
      <w:spacing w:before="240"/>
    </w:pPr>
    <w:rPr>
      <w:rFonts w:ascii="Times" w:hAnsi="Times"/>
      <w:b/>
      <w:iCs/>
      <w:color w:val="000000"/>
      <w:sz w:val="22"/>
      <w:szCs w:val="22"/>
    </w:rPr>
  </w:style>
  <w:style w:type="character" w:styleId="PageNumber">
    <w:name w:val="page number"/>
    <w:basedOn w:val="DefaultParagraphFont"/>
    <w:semiHidden/>
    <w:rsid w:val="00B51897"/>
  </w:style>
  <w:style w:type="paragraph" w:styleId="Title">
    <w:name w:val="Title"/>
    <w:basedOn w:val="Normal"/>
    <w:next w:val="Authors"/>
    <w:qFormat/>
    <w:rsid w:val="00B51897"/>
    <w:pPr>
      <w:spacing w:before="1588" w:after="567"/>
    </w:pPr>
    <w:rPr>
      <w:b/>
      <w:sz w:val="34"/>
      <w:szCs w:val="34"/>
    </w:rPr>
  </w:style>
  <w:style w:type="paragraph" w:customStyle="1" w:styleId="Authors">
    <w:name w:val="Authors"/>
    <w:next w:val="Addresses"/>
    <w:rsid w:val="00B51897"/>
    <w:pPr>
      <w:spacing w:after="113"/>
      <w:ind w:left="1418"/>
    </w:pPr>
    <w:rPr>
      <w:rFonts w:ascii="Times" w:hAnsi="Times"/>
      <w:b/>
      <w:sz w:val="22"/>
      <w:szCs w:val="22"/>
      <w:lang w:val="en-GB"/>
    </w:rPr>
  </w:style>
  <w:style w:type="paragraph" w:customStyle="1" w:styleId="Addresses">
    <w:name w:val="Addresses"/>
    <w:next w:val="E-mail"/>
    <w:rsid w:val="00B51897"/>
    <w:pPr>
      <w:spacing w:after="240"/>
      <w:ind w:left="1418"/>
    </w:pPr>
    <w:rPr>
      <w:rFonts w:ascii="Times" w:hAnsi="Times"/>
      <w:sz w:val="22"/>
      <w:szCs w:val="22"/>
      <w:lang w:val="en-GB"/>
    </w:rPr>
  </w:style>
  <w:style w:type="paragraph" w:customStyle="1" w:styleId="FigureCaption">
    <w:name w:val="FigureCaption"/>
    <w:rsid w:val="00B51897"/>
    <w:pPr>
      <w:spacing w:before="170"/>
      <w:ind w:left="28"/>
      <w:jc w:val="center"/>
    </w:pPr>
    <w:rPr>
      <w:rFonts w:ascii="Times" w:hAnsi="Times"/>
      <w:color w:val="000000"/>
      <w:sz w:val="22"/>
      <w:szCs w:val="22"/>
      <w:lang w:val="en-GB"/>
    </w:rPr>
  </w:style>
  <w:style w:type="paragraph" w:customStyle="1" w:styleId="Referencenonumber">
    <w:name w:val="Reference (no number)"/>
    <w:basedOn w:val="Reference"/>
    <w:rsid w:val="00B51897"/>
    <w:pPr>
      <w:numPr>
        <w:numId w:val="0"/>
      </w:numPr>
      <w:ind w:left="851" w:hanging="284"/>
    </w:pPr>
  </w:style>
  <w:style w:type="paragraph" w:customStyle="1" w:styleId="Reference">
    <w:name w:val="Reference"/>
    <w:rsid w:val="00B51897"/>
    <w:pPr>
      <w:widowControl w:val="0"/>
      <w:numPr>
        <w:numId w:val="4"/>
      </w:numPr>
      <w:tabs>
        <w:tab w:val="clear" w:pos="0"/>
        <w:tab w:val="left" w:pos="567"/>
      </w:tabs>
      <w:ind w:left="851" w:hanging="851"/>
      <w:jc w:val="both"/>
    </w:pPr>
    <w:rPr>
      <w:rFonts w:ascii="Times" w:hAnsi="Times"/>
      <w:iCs/>
      <w:noProof/>
      <w:color w:val="000000"/>
      <w:sz w:val="22"/>
      <w:szCs w:val="22"/>
      <w:lang w:val="en-GB"/>
    </w:rPr>
  </w:style>
  <w:style w:type="paragraph" w:styleId="ListParagraph">
    <w:name w:val="List Paragraph"/>
    <w:basedOn w:val="Normal"/>
    <w:uiPriority w:val="34"/>
    <w:qFormat/>
    <w:rsid w:val="00C85FC1"/>
    <w:pPr>
      <w:spacing w:after="200" w:line="276" w:lineRule="auto"/>
      <w:ind w:left="720"/>
      <w:contextualSpacing/>
    </w:pPr>
    <w:rPr>
      <w:rFonts w:ascii="Calibri" w:eastAsia="Calibri" w:hAnsi="Calibri"/>
      <w:szCs w:val="22"/>
      <w:lang w:val="en-US"/>
    </w:rPr>
  </w:style>
  <w:style w:type="character" w:styleId="CommentReference">
    <w:name w:val="annotation reference"/>
    <w:basedOn w:val="DefaultParagraphFont"/>
    <w:uiPriority w:val="99"/>
    <w:semiHidden/>
    <w:unhideWhenUsed/>
    <w:rsid w:val="00C85FC1"/>
    <w:rPr>
      <w:sz w:val="16"/>
      <w:szCs w:val="16"/>
    </w:rPr>
  </w:style>
  <w:style w:type="paragraph" w:styleId="CommentText">
    <w:name w:val="annotation text"/>
    <w:basedOn w:val="Normal"/>
    <w:link w:val="CommentTextChar"/>
    <w:uiPriority w:val="99"/>
    <w:semiHidden/>
    <w:unhideWhenUsed/>
    <w:rsid w:val="00C85FC1"/>
    <w:pPr>
      <w:spacing w:after="200"/>
    </w:pPr>
    <w:rPr>
      <w:rFonts w:ascii="Calibri" w:eastAsia="Calibri" w:hAnsi="Calibri"/>
      <w:sz w:val="20"/>
      <w:lang w:val="en-US"/>
    </w:rPr>
  </w:style>
  <w:style w:type="character" w:customStyle="1" w:styleId="CommentTextChar">
    <w:name w:val="Comment Text Char"/>
    <w:basedOn w:val="DefaultParagraphFont"/>
    <w:link w:val="CommentText"/>
    <w:uiPriority w:val="99"/>
    <w:semiHidden/>
    <w:rsid w:val="00C85FC1"/>
    <w:rPr>
      <w:rFonts w:ascii="Calibri" w:eastAsia="Calibri" w:hAnsi="Calibri" w:cs="Times New Roman"/>
    </w:rPr>
  </w:style>
  <w:style w:type="paragraph" w:styleId="BalloonText">
    <w:name w:val="Balloon Text"/>
    <w:basedOn w:val="Normal"/>
    <w:link w:val="BalloonTextChar"/>
    <w:uiPriority w:val="99"/>
    <w:semiHidden/>
    <w:unhideWhenUsed/>
    <w:rsid w:val="00C85FC1"/>
    <w:rPr>
      <w:rFonts w:ascii="Tahoma" w:hAnsi="Tahoma" w:cs="Tahoma"/>
      <w:sz w:val="16"/>
      <w:szCs w:val="16"/>
    </w:rPr>
  </w:style>
  <w:style w:type="character" w:customStyle="1" w:styleId="BalloonTextChar">
    <w:name w:val="Balloon Text Char"/>
    <w:basedOn w:val="DefaultParagraphFont"/>
    <w:link w:val="BalloonText"/>
    <w:uiPriority w:val="99"/>
    <w:semiHidden/>
    <w:rsid w:val="00C85FC1"/>
    <w:rPr>
      <w:rFonts w:ascii="Tahoma" w:hAnsi="Tahoma" w:cs="Tahoma"/>
      <w:sz w:val="16"/>
      <w:szCs w:val="16"/>
      <w:lang w:val="en-GB"/>
    </w:rPr>
  </w:style>
  <w:style w:type="paragraph" w:styleId="IntenseQuote">
    <w:name w:val="Intense Quote"/>
    <w:basedOn w:val="Normal"/>
    <w:next w:val="Normal"/>
    <w:link w:val="IntenseQuoteChar"/>
    <w:uiPriority w:val="30"/>
    <w:qFormat/>
    <w:rsid w:val="006461EC"/>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val="en-US" w:bidi="en-US"/>
    </w:rPr>
  </w:style>
  <w:style w:type="character" w:customStyle="1" w:styleId="IntenseQuoteChar">
    <w:name w:val="Intense Quote Char"/>
    <w:basedOn w:val="DefaultParagraphFont"/>
    <w:link w:val="IntenseQuote"/>
    <w:uiPriority w:val="30"/>
    <w:rsid w:val="006461EC"/>
    <w:rPr>
      <w:rFonts w:asciiTheme="minorHAnsi" w:eastAsiaTheme="minorHAnsi" w:hAnsiTheme="minorHAnsi" w:cstheme="minorBidi"/>
      <w:b/>
      <w:bCs/>
      <w:i/>
      <w:iCs/>
      <w:color w:val="4F81BD" w:themeColor="accent1"/>
      <w:sz w:val="22"/>
      <w:szCs w:val="22"/>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FS\AppData\Local\Temp\Rar$DI17.488\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JPCSA4Template</Template>
  <TotalTime>7</TotalTime>
  <Pages>6</Pages>
  <Words>1243</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7951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UFS</dc:creator>
  <cp:keywords>open access, proceedings, template, fast, affordable, flexible</cp:keywords>
  <cp:lastModifiedBy>kewele</cp:lastModifiedBy>
  <cp:revision>8</cp:revision>
  <cp:lastPrinted>2005-02-25T08:52:00Z</cp:lastPrinted>
  <dcterms:created xsi:type="dcterms:W3CDTF">2011-07-04T14:03:00Z</dcterms:created>
  <dcterms:modified xsi:type="dcterms:W3CDTF">2011-07-04T14:09:00Z</dcterms:modified>
</cp:coreProperties>
</file>