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E1A7" w14:textId="773A28C8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9A5179" w:rsidRPr="009A5179">
        <w:t xml:space="preserve"> </w:t>
      </w:r>
      <w:r w:rsidR="009A5179" w:rsidRPr="009A5179">
        <w:rPr>
          <w:b/>
          <w:bCs/>
          <w:color w:val="000000"/>
          <w:sz w:val="28"/>
          <w:szCs w:val="28"/>
        </w:rPr>
        <w:t xml:space="preserve">The characterization and crystallization of the TBR1 T-box </w:t>
      </w:r>
      <w:r w:rsidR="00D24903">
        <w:rPr>
          <w:b/>
          <w:bCs/>
          <w:color w:val="000000"/>
          <w:sz w:val="28"/>
          <w:szCs w:val="28"/>
        </w:rPr>
        <w:t>domain</w:t>
      </w:r>
      <w:r w:rsidR="009A5179" w:rsidRPr="009A5179">
        <w:rPr>
          <w:b/>
          <w:bCs/>
          <w:color w:val="000000"/>
          <w:sz w:val="28"/>
          <w:szCs w:val="28"/>
        </w:rPr>
        <w:t xml:space="preserve"> in the presence and absence of </w:t>
      </w:r>
      <w:r w:rsidR="009A5179">
        <w:rPr>
          <w:b/>
          <w:bCs/>
          <w:color w:val="000000"/>
          <w:sz w:val="28"/>
          <w:szCs w:val="28"/>
        </w:rPr>
        <w:t>the T-box Binding Element</w:t>
      </w:r>
    </w:p>
    <w:p w14:paraId="1D07A633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497FC6E5" w14:textId="49EFED08" w:rsidR="00AE349D" w:rsidRPr="00654B33" w:rsidRDefault="009A5179" w:rsidP="00F20A8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>
        <w:rPr>
          <w:b/>
          <w:bCs/>
          <w:color w:val="000000"/>
          <w:sz w:val="20"/>
          <w:szCs w:val="20"/>
          <w:u w:val="single"/>
        </w:rPr>
        <w:t>Riyaadh Mayet</w:t>
      </w:r>
      <w:r w:rsidR="009D1122" w:rsidRPr="00654B33">
        <w:rPr>
          <w:bCs/>
          <w:color w:val="000000"/>
          <w:sz w:val="20"/>
          <w:szCs w:val="20"/>
          <w:vertAlign w:val="superscript"/>
        </w:rPr>
        <w:t>1</w:t>
      </w:r>
      <w:r w:rsidR="00A976C6" w:rsidRPr="00654B33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Sylvia Fanucchi</w:t>
      </w:r>
      <w:r w:rsidR="009D1122" w:rsidRPr="00654B33">
        <w:rPr>
          <w:bCs/>
          <w:color w:val="000000"/>
          <w:sz w:val="20"/>
          <w:szCs w:val="20"/>
          <w:vertAlign w:val="superscript"/>
        </w:rPr>
        <w:t>2</w:t>
      </w:r>
      <w:r w:rsidR="00F20A8D" w:rsidRPr="00654B33">
        <w:rPr>
          <w:b/>
          <w:bCs/>
          <w:color w:val="000000"/>
          <w:sz w:val="20"/>
          <w:szCs w:val="20"/>
        </w:rPr>
        <w:t xml:space="preserve"> </w:t>
      </w:r>
    </w:p>
    <w:p w14:paraId="45FE2D43" w14:textId="77777777" w:rsidR="00A974FA" w:rsidRDefault="00A974FA" w:rsidP="00160B6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431B36A9" w14:textId="691895A0" w:rsidR="00160B67" w:rsidRPr="00654B33" w:rsidRDefault="003319B1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9D1122" w:rsidRPr="00654B33">
        <w:rPr>
          <w:bCs/>
          <w:i/>
          <w:color w:val="000000"/>
          <w:sz w:val="16"/>
          <w:szCs w:val="16"/>
          <w:vertAlign w:val="superscript"/>
        </w:rPr>
        <w:t>1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bookmarkStart w:id="0" w:name="_Hlk66557717"/>
      <w:r w:rsidR="00974AF9">
        <w:rPr>
          <w:i/>
          <w:iCs/>
          <w:color w:val="000000"/>
          <w:sz w:val="16"/>
          <w:szCs w:val="16"/>
        </w:rPr>
        <w:t>University of the Witwatersrand</w:t>
      </w:r>
      <w:bookmarkEnd w:id="0"/>
      <w:r w:rsidR="00E9391D" w:rsidRPr="00654B33">
        <w:rPr>
          <w:i/>
          <w:iCs/>
          <w:color w:val="000000"/>
          <w:sz w:val="16"/>
          <w:szCs w:val="16"/>
        </w:rPr>
        <w:t xml:space="preserve">, </w:t>
      </w:r>
      <w:r w:rsidR="00974AF9" w:rsidRPr="00974AF9">
        <w:rPr>
          <w:i/>
          <w:iCs/>
          <w:color w:val="000000"/>
          <w:sz w:val="16"/>
          <w:szCs w:val="16"/>
        </w:rPr>
        <w:t>1 Jan Smuts Ave, Braamfontein, Johannesburg, 2000</w:t>
      </w:r>
    </w:p>
    <w:p w14:paraId="060CCAA3" w14:textId="62B95EA3" w:rsidR="00F20A8D" w:rsidRPr="00654B33" w:rsidRDefault="009D1122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 w:rsidRPr="00654B33">
        <w:rPr>
          <w:i/>
          <w:iCs/>
          <w:color w:val="000000"/>
          <w:sz w:val="16"/>
          <w:szCs w:val="16"/>
          <w:vertAlign w:val="superscript"/>
        </w:rPr>
        <w:t>2</w:t>
      </w:r>
      <w:r w:rsidR="00974AF9" w:rsidRPr="00974AF9">
        <w:rPr>
          <w:i/>
          <w:iCs/>
          <w:color w:val="000000"/>
          <w:sz w:val="16"/>
          <w:szCs w:val="16"/>
        </w:rPr>
        <w:t xml:space="preserve"> University of the Witwatersrand</w:t>
      </w:r>
      <w:r w:rsidR="00F20A8D" w:rsidRPr="00654B33">
        <w:rPr>
          <w:i/>
          <w:iCs/>
          <w:color w:val="000000"/>
          <w:sz w:val="16"/>
          <w:szCs w:val="16"/>
        </w:rPr>
        <w:t xml:space="preserve">, </w:t>
      </w:r>
      <w:r w:rsidR="00974AF9" w:rsidRPr="00974AF9">
        <w:rPr>
          <w:i/>
          <w:iCs/>
          <w:color w:val="000000"/>
          <w:sz w:val="16"/>
          <w:szCs w:val="16"/>
        </w:rPr>
        <w:t>1 Jan Smuts Ave, Braamfontein, Johannesburg, 2000</w:t>
      </w:r>
      <w:r w:rsidR="00F20A8D" w:rsidRPr="00654B33">
        <w:rPr>
          <w:i/>
          <w:iCs/>
          <w:color w:val="000000"/>
          <w:sz w:val="16"/>
          <w:szCs w:val="16"/>
        </w:rPr>
        <w:t xml:space="preserve">  </w:t>
      </w:r>
    </w:p>
    <w:p w14:paraId="33C68F81" w14:textId="7A0CF111" w:rsidR="00160B67" w:rsidRPr="00654B33" w:rsidRDefault="00A974FA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974AF9">
        <w:rPr>
          <w:i/>
          <w:iCs/>
          <w:color w:val="000000"/>
          <w:sz w:val="16"/>
          <w:szCs w:val="16"/>
        </w:rPr>
        <w:t>riyaadh.mayet@students.wits.ac.za</w:t>
      </w:r>
    </w:p>
    <w:p w14:paraId="2B459227" w14:textId="78780DBE" w:rsidR="00160B67" w:rsidRPr="00654B33" w:rsidRDefault="00F20A8D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>1. Introduction</w:t>
      </w:r>
    </w:p>
    <w:p w14:paraId="713B20A3" w14:textId="4F79D94C" w:rsidR="00D24903" w:rsidRDefault="00D24903" w:rsidP="00D24903">
      <w:pPr>
        <w:jc w:val="both"/>
        <w:rPr>
          <w:sz w:val="20"/>
          <w:szCs w:val="20"/>
        </w:rPr>
      </w:pPr>
      <w:r w:rsidRPr="00D24903">
        <w:rPr>
          <w:sz w:val="20"/>
          <w:szCs w:val="20"/>
        </w:rPr>
        <w:t>TBR1 is a neuron-specific transcription factor expressed during embryonic development. TBR1 is involved in multiple aspects of cortical development, such as the differentiation and migration of neurons and has recently emerged as a master regulator of genes implicated in Autism Spectrum Disorder (ASD)</w:t>
      </w:r>
      <w:r>
        <w:rPr>
          <w:sz w:val="20"/>
          <w:szCs w:val="20"/>
        </w:rPr>
        <w:t xml:space="preserve"> [</w:t>
      </w:r>
      <w:r w:rsidR="00957DCA">
        <w:rPr>
          <w:sz w:val="20"/>
          <w:szCs w:val="20"/>
        </w:rPr>
        <w:t>1</w:t>
      </w:r>
      <w:r>
        <w:rPr>
          <w:sz w:val="20"/>
          <w:szCs w:val="20"/>
        </w:rPr>
        <w:t>]</w:t>
      </w:r>
      <w:r w:rsidRPr="00D24903">
        <w:rPr>
          <w:sz w:val="20"/>
          <w:szCs w:val="20"/>
        </w:rPr>
        <w:t>. It is thus possible that aberrant molecular interactions with TBR1 could underlie the altered neuro</w:t>
      </w:r>
      <w:r>
        <w:rPr>
          <w:sz w:val="20"/>
          <w:szCs w:val="20"/>
        </w:rPr>
        <w:t>-</w:t>
      </w:r>
      <w:r w:rsidRPr="00D24903">
        <w:rPr>
          <w:sz w:val="20"/>
          <w:szCs w:val="20"/>
        </w:rPr>
        <w:t xml:space="preserve">molecular networks observed in Autism. </w:t>
      </w:r>
    </w:p>
    <w:p w14:paraId="4D99318F" w14:textId="77777777" w:rsidR="00D24903" w:rsidRPr="00D24903" w:rsidRDefault="00D24903" w:rsidP="00D24903">
      <w:pPr>
        <w:jc w:val="both"/>
        <w:rPr>
          <w:sz w:val="20"/>
          <w:szCs w:val="20"/>
        </w:rPr>
      </w:pPr>
    </w:p>
    <w:p w14:paraId="0460143D" w14:textId="3DD47229" w:rsidR="00D24903" w:rsidRDefault="00D24903" w:rsidP="00D24903">
      <w:pPr>
        <w:jc w:val="both"/>
        <w:rPr>
          <w:sz w:val="20"/>
          <w:szCs w:val="20"/>
        </w:rPr>
      </w:pPr>
      <w:r w:rsidRPr="00D24903">
        <w:rPr>
          <w:sz w:val="20"/>
          <w:szCs w:val="20"/>
        </w:rPr>
        <w:t>TBR1 belongs to the T-box family of transcription factors, which are defined by an evolutionarily conserved DNA-binding domain</w:t>
      </w:r>
      <w:r w:rsidR="00763FA8">
        <w:rPr>
          <w:sz w:val="20"/>
          <w:szCs w:val="20"/>
        </w:rPr>
        <w:t xml:space="preserve"> of immunoglobulin fold,</w:t>
      </w:r>
      <w:r w:rsidRPr="00D24903">
        <w:rPr>
          <w:sz w:val="20"/>
          <w:szCs w:val="20"/>
        </w:rPr>
        <w:t xml:space="preserve"> known as the T-box</w:t>
      </w:r>
      <w:r w:rsidR="00763FA8">
        <w:rPr>
          <w:sz w:val="20"/>
          <w:szCs w:val="20"/>
        </w:rPr>
        <w:t xml:space="preserve"> domain</w:t>
      </w:r>
      <w:r w:rsidRPr="00D24903">
        <w:rPr>
          <w:sz w:val="20"/>
          <w:szCs w:val="20"/>
        </w:rPr>
        <w:t>, which is both necessary and sufficient for sequence specific DNA-binding</w:t>
      </w:r>
      <w:r>
        <w:rPr>
          <w:sz w:val="20"/>
          <w:szCs w:val="20"/>
        </w:rPr>
        <w:t xml:space="preserve"> [</w:t>
      </w:r>
      <w:r w:rsidR="00957DCA">
        <w:rPr>
          <w:sz w:val="20"/>
          <w:szCs w:val="20"/>
        </w:rPr>
        <w:t>2</w:t>
      </w:r>
      <w:r>
        <w:rPr>
          <w:sz w:val="20"/>
          <w:szCs w:val="20"/>
        </w:rPr>
        <w:t>]</w:t>
      </w:r>
      <w:r w:rsidRPr="00D24903">
        <w:rPr>
          <w:sz w:val="20"/>
          <w:szCs w:val="20"/>
        </w:rPr>
        <w:t>. All T-box family members bind to a seven base-pair long DNA consensus sequence TCACACCT, known as the T-box Binding element</w:t>
      </w:r>
      <w:r>
        <w:rPr>
          <w:sz w:val="20"/>
          <w:szCs w:val="20"/>
        </w:rPr>
        <w:t xml:space="preserve"> [</w:t>
      </w:r>
      <w:r w:rsidR="00957DCA">
        <w:rPr>
          <w:sz w:val="20"/>
          <w:szCs w:val="20"/>
        </w:rPr>
        <w:t>2</w:t>
      </w:r>
      <w:r>
        <w:rPr>
          <w:sz w:val="20"/>
          <w:szCs w:val="20"/>
        </w:rPr>
        <w:t>]</w:t>
      </w:r>
      <w:r w:rsidRPr="00D24903">
        <w:rPr>
          <w:sz w:val="20"/>
          <w:szCs w:val="20"/>
        </w:rPr>
        <w:t>.</w:t>
      </w:r>
    </w:p>
    <w:p w14:paraId="4258349C" w14:textId="77777777" w:rsidR="00D24903" w:rsidRPr="00D24903" w:rsidRDefault="00D24903" w:rsidP="00D24903">
      <w:pPr>
        <w:jc w:val="both"/>
        <w:rPr>
          <w:sz w:val="20"/>
          <w:szCs w:val="20"/>
        </w:rPr>
      </w:pPr>
    </w:p>
    <w:p w14:paraId="74F527EC" w14:textId="0C2026DC" w:rsidR="00D24903" w:rsidRDefault="00763FA8" w:rsidP="00D24903">
      <w:pPr>
        <w:jc w:val="both"/>
        <w:rPr>
          <w:sz w:val="20"/>
          <w:szCs w:val="20"/>
        </w:rPr>
      </w:pPr>
      <w:r>
        <w:rPr>
          <w:sz w:val="20"/>
          <w:szCs w:val="20"/>
        </w:rPr>
        <w:t>Currently there is no solved structure available of the TBR1 TBOX domain</w:t>
      </w:r>
      <w:r w:rsidR="009744D7">
        <w:rPr>
          <w:sz w:val="20"/>
          <w:szCs w:val="20"/>
        </w:rPr>
        <w:t xml:space="preserve"> and so a crystal structure would be highly desirable</w:t>
      </w:r>
      <w:r>
        <w:rPr>
          <w:sz w:val="20"/>
          <w:szCs w:val="20"/>
        </w:rPr>
        <w:t xml:space="preserve">. </w:t>
      </w:r>
      <w:r w:rsidR="00D24903" w:rsidRPr="00D24903">
        <w:rPr>
          <w:sz w:val="20"/>
          <w:szCs w:val="20"/>
        </w:rPr>
        <w:t>In this study, we</w:t>
      </w:r>
      <w:r w:rsidR="009744D7">
        <w:rPr>
          <w:sz w:val="20"/>
          <w:szCs w:val="20"/>
        </w:rPr>
        <w:t xml:space="preserve"> therefore</w:t>
      </w:r>
      <w:r w:rsidR="00D24903" w:rsidRPr="00D24903">
        <w:rPr>
          <w:sz w:val="20"/>
          <w:szCs w:val="20"/>
        </w:rPr>
        <w:t xml:space="preserve"> aim to obtain crystal structures of the TBR1 T-box domain in</w:t>
      </w:r>
      <w:r w:rsidR="009744D7">
        <w:rPr>
          <w:sz w:val="20"/>
          <w:szCs w:val="20"/>
        </w:rPr>
        <w:t xml:space="preserve"> both</w:t>
      </w:r>
      <w:r w:rsidR="00D24903" w:rsidRPr="00D24903">
        <w:rPr>
          <w:sz w:val="20"/>
          <w:szCs w:val="20"/>
        </w:rPr>
        <w:t xml:space="preserve"> the presence and absence of the T-box binding element, with the hope of elucidating its DNA-binding mechanism.</w:t>
      </w:r>
      <w:r w:rsidR="008D432A">
        <w:rPr>
          <w:sz w:val="20"/>
          <w:szCs w:val="20"/>
        </w:rPr>
        <w:t xml:space="preserve"> The structure may be solved by molecular replacement using TBX21.</w:t>
      </w:r>
      <w:r w:rsidR="00D24903" w:rsidRPr="00D24903">
        <w:rPr>
          <w:sz w:val="20"/>
          <w:szCs w:val="20"/>
        </w:rPr>
        <w:t xml:space="preserve"> This will shed more light on how TBR1 regulates ASD-related genes and could explain how aberrant molecular interactions influence neurodevelopmental disorders.</w:t>
      </w:r>
    </w:p>
    <w:p w14:paraId="5B1FA707" w14:textId="77777777" w:rsidR="00D24903" w:rsidRPr="00D24903" w:rsidRDefault="00D24903" w:rsidP="00D24903">
      <w:pPr>
        <w:jc w:val="both"/>
        <w:rPr>
          <w:sz w:val="20"/>
          <w:szCs w:val="20"/>
        </w:rPr>
      </w:pPr>
    </w:p>
    <w:p w14:paraId="325CB1CA" w14:textId="5FC0E2F6" w:rsidR="00A9295F" w:rsidRDefault="00D24903" w:rsidP="00D24903">
      <w:pPr>
        <w:jc w:val="both"/>
        <w:rPr>
          <w:sz w:val="20"/>
          <w:szCs w:val="20"/>
        </w:rPr>
      </w:pPr>
      <w:r w:rsidRPr="00D24903">
        <w:rPr>
          <w:sz w:val="20"/>
          <w:szCs w:val="20"/>
        </w:rPr>
        <w:t xml:space="preserve">The TBR1 T-box domain has been overexpressed and successfully purified using immobilized metal-ion affinity chromatography followed by size exclusion chromatography. </w:t>
      </w:r>
      <w:r w:rsidR="00763FA8">
        <w:rPr>
          <w:sz w:val="20"/>
          <w:szCs w:val="20"/>
        </w:rPr>
        <w:t>Preliminary structural characterization has been made by monitoring</w:t>
      </w:r>
      <w:r w:rsidRPr="00D24903">
        <w:rPr>
          <w:sz w:val="20"/>
          <w:szCs w:val="20"/>
        </w:rPr>
        <w:t xml:space="preserve"> intrinsic tryptophan fluorescence in the presence and absence of 6</w:t>
      </w:r>
      <w:r w:rsidR="00763FA8">
        <w:rPr>
          <w:sz w:val="20"/>
          <w:szCs w:val="20"/>
        </w:rPr>
        <w:t xml:space="preserve"> </w:t>
      </w:r>
      <w:r w:rsidRPr="00D24903">
        <w:rPr>
          <w:sz w:val="20"/>
          <w:szCs w:val="20"/>
        </w:rPr>
        <w:t>M guanidine hydrochloride, as well as in the presence and absence of the T-box Binding element and</w:t>
      </w:r>
      <w:r w:rsidR="00763FA8">
        <w:rPr>
          <w:sz w:val="20"/>
          <w:szCs w:val="20"/>
        </w:rPr>
        <w:t xml:space="preserve"> it has</w:t>
      </w:r>
      <w:r w:rsidRPr="00D24903">
        <w:rPr>
          <w:sz w:val="20"/>
          <w:szCs w:val="20"/>
        </w:rPr>
        <w:t xml:space="preserve"> revealed that the protein is properly folded. The DNA-binding function has been </w:t>
      </w:r>
      <w:r>
        <w:rPr>
          <w:sz w:val="20"/>
          <w:szCs w:val="20"/>
        </w:rPr>
        <w:t xml:space="preserve">confirmed </w:t>
      </w:r>
      <w:r w:rsidRPr="00D24903">
        <w:rPr>
          <w:sz w:val="20"/>
          <w:szCs w:val="20"/>
        </w:rPr>
        <w:t xml:space="preserve">using an electrophoretic mobility shift assay. The DNA-binding properties were quantitatively assessed using fluorescence anisotropy in the presence of the T-box Binding Element and revealed a dissociation constant of 320 nM. Since the TBR1 T-box has been successfully characterized, it </w:t>
      </w:r>
      <w:r>
        <w:rPr>
          <w:sz w:val="20"/>
          <w:szCs w:val="20"/>
        </w:rPr>
        <w:t>is ready for crystal trials.</w:t>
      </w:r>
    </w:p>
    <w:p w14:paraId="2D65DF2D" w14:textId="77777777" w:rsidR="00D24903" w:rsidRPr="00974AF9" w:rsidRDefault="00D24903" w:rsidP="00D24903">
      <w:pPr>
        <w:jc w:val="both"/>
        <w:rPr>
          <w:color w:val="000000"/>
          <w:sz w:val="20"/>
          <w:szCs w:val="20"/>
        </w:rPr>
      </w:pPr>
    </w:p>
    <w:p w14:paraId="291D6A5A" w14:textId="77777777" w:rsidR="00592806" w:rsidRDefault="00214CB1" w:rsidP="00160B6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2CD40BA5" w14:textId="694ADB8E" w:rsidR="006F547E" w:rsidRPr="006F547E" w:rsidRDefault="00D24903" w:rsidP="001A1F1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TBR1 T-box has been successfully purified by size exclusion chromatography as shown in Fig. 1 below. The T-box domain exists predominantly as a monomer (26 kDa) but can also dimerize (53 kDa)</w:t>
      </w:r>
      <w:r w:rsidR="002C3A3C">
        <w:rPr>
          <w:color w:val="000000"/>
          <w:sz w:val="20"/>
          <w:szCs w:val="20"/>
        </w:rPr>
        <w:t>, particularly under oxidizing conditions</w:t>
      </w:r>
      <w:r>
        <w:rPr>
          <w:color w:val="000000"/>
          <w:sz w:val="20"/>
          <w:szCs w:val="20"/>
        </w:rPr>
        <w:t>.</w:t>
      </w:r>
      <w:r w:rsidR="002C3A3C">
        <w:rPr>
          <w:color w:val="000000"/>
          <w:sz w:val="20"/>
          <w:szCs w:val="20"/>
        </w:rPr>
        <w:t xml:space="preserve"> Preliminary structural characterization using fluorescence spectroscopy has shown the TBOX domain to be structurally intact both in the presence and absence of DNA and </w:t>
      </w:r>
      <w:r>
        <w:rPr>
          <w:color w:val="000000"/>
          <w:sz w:val="20"/>
          <w:szCs w:val="20"/>
        </w:rPr>
        <w:t>electrophoretic mobility shift assay</w:t>
      </w:r>
      <w:r w:rsidR="002C3A3C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confirmed</w:t>
      </w:r>
      <w:r w:rsidR="002C3A3C">
        <w:rPr>
          <w:color w:val="000000"/>
          <w:sz w:val="20"/>
          <w:szCs w:val="20"/>
        </w:rPr>
        <w:t xml:space="preserve"> that the protein is functional as it displayed</w:t>
      </w:r>
      <w:r>
        <w:rPr>
          <w:color w:val="000000"/>
          <w:sz w:val="20"/>
          <w:szCs w:val="20"/>
        </w:rPr>
        <w:t xml:space="preserve"> sequence specific binding to the TBE. The protein is now ready for crystal trials</w:t>
      </w:r>
      <w:r w:rsidR="002C3A3C">
        <w:rPr>
          <w:color w:val="000000"/>
          <w:sz w:val="20"/>
          <w:szCs w:val="20"/>
        </w:rPr>
        <w:t xml:space="preserve"> both in the presence and absence of DNA</w:t>
      </w:r>
      <w:r>
        <w:rPr>
          <w:color w:val="000000"/>
          <w:sz w:val="20"/>
          <w:szCs w:val="20"/>
        </w:rPr>
        <w:t>.</w:t>
      </w:r>
    </w:p>
    <w:p w14:paraId="5DCF9015" w14:textId="00CA1FDF" w:rsidR="00F9475E" w:rsidRPr="004A7EA4" w:rsidRDefault="002C3A3C" w:rsidP="00D2490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5EADF" wp14:editId="6B77B3FF">
                <wp:simplePos x="0" y="0"/>
                <wp:positionH relativeFrom="margin">
                  <wp:align>left</wp:align>
                </wp:positionH>
                <wp:positionV relativeFrom="paragraph">
                  <wp:posOffset>1640205</wp:posOffset>
                </wp:positionV>
                <wp:extent cx="2581275" cy="357505"/>
                <wp:effectExtent l="0" t="0" r="28575" b="2349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0F653" w14:textId="23C42931" w:rsidR="006F547E" w:rsidRPr="006A47BF" w:rsidRDefault="00D24903" w:rsidP="00D24903">
                            <w:pPr>
                              <w:pStyle w:val="Caption"/>
                              <w:jc w:val="center"/>
                              <w:rPr>
                                <w:color w:val="000000"/>
                              </w:rPr>
                            </w:pPr>
                            <w:r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t>F</w:t>
                            </w:r>
                            <w:r w:rsidR="006F547E"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t xml:space="preserve">ig. </w:t>
                            </w:r>
                            <w:r w:rsidR="006D7D5F"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6F547E"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="006D7D5F"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F0720" w:rsidRPr="00D24903">
                              <w:rPr>
                                <w:bCs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6D7D5F"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362A56" w:rsidRPr="00D24903">
                              <w:rPr>
                                <w:bCs w:val="0"/>
                                <w:sz w:val="16"/>
                                <w:szCs w:val="16"/>
                              </w:rPr>
                              <w:t>:</w:t>
                            </w:r>
                            <w:r w:rsidR="006F547E" w:rsidRPr="00214CB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Elution profile from size exclusion chromatography showing successful purification.</w:t>
                            </w:r>
                          </w:p>
                          <w:p w14:paraId="15069CAE" w14:textId="77777777" w:rsidR="006F547E" w:rsidRDefault="006F5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5EAD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29.15pt;width:203.25pt;height:28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5PJwIAAFE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" strokecolor="white">
                <v:textbox>
                  <w:txbxContent>
                    <w:p w14:paraId="3850F653" w14:textId="23C42931" w:rsidR="006F547E" w:rsidRPr="006A47BF" w:rsidRDefault="00D24903" w:rsidP="00D24903">
                      <w:pPr>
                        <w:pStyle w:val="Caption"/>
                        <w:jc w:val="center"/>
                        <w:rPr>
                          <w:color w:val="000000"/>
                        </w:rPr>
                      </w:pPr>
                      <w:r w:rsidRPr="00D24903">
                        <w:rPr>
                          <w:bCs w:val="0"/>
                          <w:sz w:val="16"/>
                          <w:szCs w:val="16"/>
                        </w:rPr>
                        <w:t>F</w:t>
                      </w:r>
                      <w:r w:rsidR="006F547E" w:rsidRPr="00D24903">
                        <w:rPr>
                          <w:bCs w:val="0"/>
                          <w:sz w:val="16"/>
                          <w:szCs w:val="16"/>
                        </w:rPr>
                        <w:t xml:space="preserve">ig. </w:t>
                      </w:r>
                      <w:r w:rsidR="006D7D5F" w:rsidRPr="00D24903">
                        <w:rPr>
                          <w:bCs w:val="0"/>
                          <w:sz w:val="16"/>
                          <w:szCs w:val="16"/>
                        </w:rPr>
                        <w:fldChar w:fldCharType="begin"/>
                      </w:r>
                      <w:r w:rsidR="006F547E" w:rsidRPr="00D24903">
                        <w:rPr>
                          <w:bCs w:val="0"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="006D7D5F" w:rsidRPr="00D24903">
                        <w:rPr>
                          <w:bCs w:val="0"/>
                          <w:sz w:val="16"/>
                          <w:szCs w:val="16"/>
                        </w:rPr>
                        <w:fldChar w:fldCharType="separate"/>
                      </w:r>
                      <w:r w:rsidR="00AF0720" w:rsidRPr="00D24903">
                        <w:rPr>
                          <w:bCs w:val="0"/>
                          <w:noProof/>
                          <w:sz w:val="16"/>
                          <w:szCs w:val="16"/>
                        </w:rPr>
                        <w:t>1</w:t>
                      </w:r>
                      <w:r w:rsidR="006D7D5F" w:rsidRPr="00D24903">
                        <w:rPr>
                          <w:bCs w:val="0"/>
                          <w:sz w:val="16"/>
                          <w:szCs w:val="16"/>
                        </w:rPr>
                        <w:fldChar w:fldCharType="end"/>
                      </w:r>
                      <w:r w:rsidR="00362A56" w:rsidRPr="00D24903">
                        <w:rPr>
                          <w:bCs w:val="0"/>
                          <w:sz w:val="16"/>
                          <w:szCs w:val="16"/>
                        </w:rPr>
                        <w:t>:</w:t>
                      </w:r>
                      <w:r w:rsidR="006F547E" w:rsidRPr="00214CB1"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Elution profile from size exclusion chromatography showing successful purification.</w:t>
                      </w:r>
                    </w:p>
                    <w:p w14:paraId="15069CAE" w14:textId="77777777" w:rsidR="006F547E" w:rsidRDefault="006F547E"/>
                  </w:txbxContent>
                </v:textbox>
                <w10:wrap anchorx="margin"/>
              </v:shape>
            </w:pict>
          </mc:Fallback>
        </mc:AlternateContent>
      </w:r>
      <w:r w:rsidR="00D24903">
        <w:rPr>
          <w:noProof/>
          <w:color w:val="000000"/>
          <w:sz w:val="20"/>
          <w:szCs w:val="20"/>
          <w:lang w:val="en-ZA" w:eastAsia="en-ZA"/>
        </w:rPr>
        <w:drawing>
          <wp:inline distT="0" distB="0" distL="0" distR="0" wp14:anchorId="6357BA0D" wp14:editId="426A6803">
            <wp:extent cx="25908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23" cy="160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0AF4">
        <w:rPr>
          <w:color w:val="000000"/>
          <w:sz w:val="20"/>
          <w:szCs w:val="20"/>
        </w:rPr>
        <w:t xml:space="preserve">                </w:t>
      </w:r>
      <w:r w:rsidR="00D24903">
        <w:rPr>
          <w:noProof/>
          <w:color w:val="000000"/>
          <w:sz w:val="20"/>
          <w:szCs w:val="20"/>
          <w:lang w:val="en-ZA" w:eastAsia="en-ZA"/>
        </w:rPr>
        <w:drawing>
          <wp:inline distT="0" distB="0" distL="0" distR="0" wp14:anchorId="330E76B3" wp14:editId="4B050052">
            <wp:extent cx="2505075" cy="1698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8"/>
                    <a:stretch/>
                  </pic:blipFill>
                  <pic:spPr bwMode="auto">
                    <a:xfrm>
                      <a:off x="0" y="0"/>
                      <a:ext cx="2505927" cy="16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758FB" w14:textId="048C4CCF" w:rsidR="00365D1F" w:rsidRDefault="002C3A3C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6EE05" wp14:editId="5413540D">
                <wp:simplePos x="0" y="0"/>
                <wp:positionH relativeFrom="column">
                  <wp:posOffset>3119120</wp:posOffset>
                </wp:positionH>
                <wp:positionV relativeFrom="paragraph">
                  <wp:posOffset>13970</wp:posOffset>
                </wp:positionV>
                <wp:extent cx="2529205" cy="340995"/>
                <wp:effectExtent l="9525" t="5715" r="13970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1134" w14:textId="33932901" w:rsidR="0091651E" w:rsidRPr="00E370F4" w:rsidRDefault="0091651E" w:rsidP="009165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4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Fig. </w:t>
                            </w:r>
                            <w:r w:rsidR="00214CB1" w:rsidRPr="00D24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362A56" w:rsidRPr="00D2490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214C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4903">
                              <w:rPr>
                                <w:sz w:val="16"/>
                                <w:szCs w:val="16"/>
                              </w:rPr>
                              <w:t>Electrophoretic mobility shift assay of the TBR1 T-box showing successful binding to the TBE.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EE05" id="Text Box 19" o:spid="_x0000_s1027" type="#_x0000_t202" style="position:absolute;margin-left:245.6pt;margin-top:1.1pt;width:199.1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" strokecolor="white">
                <v:textbox>
                  <w:txbxContent>
                    <w:p w14:paraId="3A401134" w14:textId="33932901" w:rsidR="0091651E" w:rsidRPr="00E370F4" w:rsidRDefault="0091651E" w:rsidP="009165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24903">
                        <w:rPr>
                          <w:b/>
                          <w:bCs/>
                          <w:sz w:val="16"/>
                          <w:szCs w:val="16"/>
                        </w:rPr>
                        <w:t xml:space="preserve">Fig. </w:t>
                      </w:r>
                      <w:r w:rsidR="00214CB1" w:rsidRPr="00D24903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362A56" w:rsidRPr="00D24903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214CB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4903">
                        <w:rPr>
                          <w:sz w:val="16"/>
                          <w:szCs w:val="16"/>
                        </w:rPr>
                        <w:t>Electrophoretic mobility shift assay of the TBR1 T-box showing successful binding to the TBE.</w:t>
                      </w:r>
                    </w:p>
                  </w:txbxContent>
                </v:textbox>
              </v:shape>
            </w:pict>
          </mc:Fallback>
        </mc:AlternateContent>
      </w:r>
    </w:p>
    <w:p w14:paraId="267D8FD8" w14:textId="4130A53B" w:rsidR="00E370F4" w:rsidRDefault="00E370F4" w:rsidP="00365D1F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6420C5F6" w14:textId="5857643A" w:rsidR="00957DCA" w:rsidRDefault="00914CA2" w:rsidP="00160B67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 w:rsidR="00160B67">
        <w:rPr>
          <w:b/>
          <w:bCs/>
          <w:color w:val="000000"/>
          <w:sz w:val="20"/>
          <w:szCs w:val="20"/>
        </w:rPr>
        <w:t>. References</w:t>
      </w:r>
    </w:p>
    <w:p w14:paraId="7EAF7619" w14:textId="326E2DC9" w:rsidR="00160B67" w:rsidRPr="00D24903" w:rsidRDefault="00160B67" w:rsidP="00160B67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D24903">
        <w:rPr>
          <w:color w:val="000000"/>
          <w:sz w:val="16"/>
          <w:szCs w:val="16"/>
        </w:rPr>
        <w:t>[</w:t>
      </w:r>
      <w:r w:rsidR="00B66A4E" w:rsidRPr="00D24903">
        <w:rPr>
          <w:color w:val="000000"/>
          <w:sz w:val="16"/>
          <w:szCs w:val="16"/>
        </w:rPr>
        <w:t>1</w:t>
      </w:r>
      <w:r w:rsidRPr="00D24903">
        <w:rPr>
          <w:color w:val="000000"/>
          <w:sz w:val="16"/>
          <w:szCs w:val="16"/>
        </w:rPr>
        <w:t xml:space="preserve">] </w:t>
      </w:r>
      <w:proofErr w:type="spellStart"/>
      <w:r w:rsidR="00957DCA" w:rsidRPr="00957DCA">
        <w:rPr>
          <w:color w:val="000000"/>
          <w:sz w:val="16"/>
          <w:szCs w:val="16"/>
        </w:rPr>
        <w:t>Deriziotis</w:t>
      </w:r>
      <w:proofErr w:type="spellEnd"/>
      <w:r w:rsidR="00957DCA" w:rsidRPr="00957DCA">
        <w:rPr>
          <w:color w:val="000000"/>
          <w:sz w:val="16"/>
          <w:szCs w:val="16"/>
        </w:rPr>
        <w:t xml:space="preserve">, P., </w:t>
      </w:r>
      <w:proofErr w:type="spellStart"/>
      <w:r w:rsidR="00957DCA" w:rsidRPr="00957DCA">
        <w:rPr>
          <w:color w:val="000000"/>
          <w:sz w:val="16"/>
          <w:szCs w:val="16"/>
        </w:rPr>
        <w:t>O’Roak</w:t>
      </w:r>
      <w:proofErr w:type="spellEnd"/>
      <w:r w:rsidR="00957DCA" w:rsidRPr="00957DCA">
        <w:rPr>
          <w:color w:val="000000"/>
          <w:sz w:val="16"/>
          <w:szCs w:val="16"/>
        </w:rPr>
        <w:t xml:space="preserve">, B.J., Graham, S.A., </w:t>
      </w:r>
      <w:proofErr w:type="spellStart"/>
      <w:r w:rsidR="00957DCA" w:rsidRPr="00957DCA">
        <w:rPr>
          <w:color w:val="000000"/>
          <w:sz w:val="16"/>
          <w:szCs w:val="16"/>
        </w:rPr>
        <w:t>Estruch</w:t>
      </w:r>
      <w:proofErr w:type="spellEnd"/>
      <w:r w:rsidR="00957DCA" w:rsidRPr="00957DCA">
        <w:rPr>
          <w:color w:val="000000"/>
          <w:sz w:val="16"/>
          <w:szCs w:val="16"/>
        </w:rPr>
        <w:t xml:space="preserve">, S.B., </w:t>
      </w:r>
      <w:proofErr w:type="spellStart"/>
      <w:r w:rsidR="00957DCA" w:rsidRPr="00957DCA">
        <w:rPr>
          <w:color w:val="000000"/>
          <w:sz w:val="16"/>
          <w:szCs w:val="16"/>
        </w:rPr>
        <w:t>Dimitropoulou</w:t>
      </w:r>
      <w:proofErr w:type="spellEnd"/>
      <w:r w:rsidR="00957DCA" w:rsidRPr="00957DCA">
        <w:rPr>
          <w:color w:val="000000"/>
          <w:sz w:val="16"/>
          <w:szCs w:val="16"/>
        </w:rPr>
        <w:t xml:space="preserve">, D., Bernier, R.A., </w:t>
      </w:r>
      <w:proofErr w:type="spellStart"/>
      <w:r w:rsidR="00957DCA" w:rsidRPr="00957DCA">
        <w:rPr>
          <w:color w:val="000000"/>
          <w:sz w:val="16"/>
          <w:szCs w:val="16"/>
        </w:rPr>
        <w:t>Gerdts</w:t>
      </w:r>
      <w:proofErr w:type="spellEnd"/>
      <w:r w:rsidR="00957DCA" w:rsidRPr="00957DCA">
        <w:rPr>
          <w:color w:val="000000"/>
          <w:sz w:val="16"/>
          <w:szCs w:val="16"/>
        </w:rPr>
        <w:t xml:space="preserve">, J., </w:t>
      </w:r>
      <w:proofErr w:type="spellStart"/>
      <w:r w:rsidR="00957DCA" w:rsidRPr="00957DCA">
        <w:rPr>
          <w:color w:val="000000"/>
          <w:sz w:val="16"/>
          <w:szCs w:val="16"/>
        </w:rPr>
        <w:t>Shendure</w:t>
      </w:r>
      <w:proofErr w:type="spellEnd"/>
      <w:r w:rsidR="00957DCA" w:rsidRPr="00957DCA">
        <w:rPr>
          <w:color w:val="000000"/>
          <w:sz w:val="16"/>
          <w:szCs w:val="16"/>
        </w:rPr>
        <w:t>, J., Eichler, E.E., Fisher, S.E. Nature Communication 5,</w:t>
      </w:r>
      <w:r w:rsidR="00957DCA">
        <w:rPr>
          <w:color w:val="000000"/>
          <w:sz w:val="16"/>
          <w:szCs w:val="16"/>
        </w:rPr>
        <w:t xml:space="preserve"> (2014)</w:t>
      </w:r>
      <w:r w:rsidR="00957DCA" w:rsidRPr="00957DCA">
        <w:rPr>
          <w:color w:val="000000"/>
          <w:sz w:val="16"/>
          <w:szCs w:val="16"/>
        </w:rPr>
        <w:t xml:space="preserve"> 4954</w:t>
      </w:r>
      <w:r w:rsidR="00957DCA">
        <w:rPr>
          <w:color w:val="000000"/>
          <w:sz w:val="16"/>
          <w:szCs w:val="16"/>
        </w:rPr>
        <w:t>.</w:t>
      </w:r>
    </w:p>
    <w:p w14:paraId="52A4A723" w14:textId="77D5D1B1" w:rsidR="00D24903" w:rsidRPr="00D24903" w:rsidRDefault="00DE5C1B" w:rsidP="00160B6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24903">
        <w:rPr>
          <w:color w:val="000000"/>
          <w:sz w:val="16"/>
          <w:szCs w:val="16"/>
        </w:rPr>
        <w:t xml:space="preserve">[2] </w:t>
      </w:r>
      <w:r w:rsidR="00957DCA" w:rsidRPr="00957DCA">
        <w:rPr>
          <w:color w:val="000000"/>
          <w:sz w:val="16"/>
          <w:szCs w:val="16"/>
        </w:rPr>
        <w:t>Wilson, V., Conlon, F.L. The T-box family. Genome Biology 3</w:t>
      </w:r>
      <w:r w:rsidR="00957DCA">
        <w:rPr>
          <w:color w:val="000000"/>
          <w:sz w:val="16"/>
          <w:szCs w:val="16"/>
        </w:rPr>
        <w:t xml:space="preserve"> (2002)</w:t>
      </w:r>
      <w:r w:rsidR="00957DCA" w:rsidRPr="00957DCA">
        <w:rPr>
          <w:color w:val="000000"/>
          <w:sz w:val="16"/>
          <w:szCs w:val="16"/>
        </w:rPr>
        <w:t>.</w:t>
      </w:r>
    </w:p>
    <w:sectPr w:rsidR="00D24903" w:rsidRPr="00D24903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206516"/>
    <w:rsid w:val="00214CB1"/>
    <w:rsid w:val="00260E0F"/>
    <w:rsid w:val="00281AC7"/>
    <w:rsid w:val="00282A19"/>
    <w:rsid w:val="00286347"/>
    <w:rsid w:val="002A4557"/>
    <w:rsid w:val="002B59F9"/>
    <w:rsid w:val="002C3A3C"/>
    <w:rsid w:val="002E1C7D"/>
    <w:rsid w:val="002F0D3A"/>
    <w:rsid w:val="003128CE"/>
    <w:rsid w:val="003319B1"/>
    <w:rsid w:val="00345231"/>
    <w:rsid w:val="00362A56"/>
    <w:rsid w:val="00365D1F"/>
    <w:rsid w:val="0039050A"/>
    <w:rsid w:val="00396A83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63FA8"/>
    <w:rsid w:val="007764A0"/>
    <w:rsid w:val="007B1120"/>
    <w:rsid w:val="007C3D78"/>
    <w:rsid w:val="007C65E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D432A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57DCA"/>
    <w:rsid w:val="009744D7"/>
    <w:rsid w:val="00974AF9"/>
    <w:rsid w:val="009A5179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6202"/>
    <w:rsid w:val="00A9295F"/>
    <w:rsid w:val="00A974FA"/>
    <w:rsid w:val="00A976C6"/>
    <w:rsid w:val="00AA1926"/>
    <w:rsid w:val="00AA6303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D0D9C"/>
    <w:rsid w:val="00BE279C"/>
    <w:rsid w:val="00BE6574"/>
    <w:rsid w:val="00BF566E"/>
    <w:rsid w:val="00C01D29"/>
    <w:rsid w:val="00C17A65"/>
    <w:rsid w:val="00C5464A"/>
    <w:rsid w:val="00C55098"/>
    <w:rsid w:val="00C56495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24903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87F1E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B9E59"/>
  <w15:docId w15:val="{A166F151-ADB7-4103-82CE-2AFDEAE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9744D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4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4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44D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AC54-E8B7-4676-A04A-E5E2A44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SAIP2010_default.dot</Template>
  <TotalTime>12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dc:description/>
  <cp:lastModifiedBy>Riyaadh Mayet</cp:lastModifiedBy>
  <cp:revision>3</cp:revision>
  <cp:lastPrinted>2010-06-23T09:35:00Z</cp:lastPrinted>
  <dcterms:created xsi:type="dcterms:W3CDTF">2021-03-15T20:50:00Z</dcterms:created>
  <dcterms:modified xsi:type="dcterms:W3CDTF">2021-03-15T21:03:00Z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