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57A45" w14:textId="77118254" w:rsidR="0065340D" w:rsidRDefault="006D7D5F" w:rsidP="00EF28F5">
      <w:pPr>
        <w:autoSpaceDE w:val="0"/>
        <w:autoSpaceDN w:val="0"/>
        <w:adjustRightInd w:val="0"/>
        <w:jc w:val="center"/>
        <w:rPr>
          <w:b/>
          <w:bCs/>
          <w:color w:val="000000"/>
          <w:sz w:val="28"/>
          <w:szCs w:val="28"/>
        </w:rPr>
      </w:pPr>
      <w:r>
        <w:rPr>
          <w:b/>
          <w:bCs/>
          <w:color w:val="000000"/>
          <w:sz w:val="36"/>
          <w:szCs w:val="36"/>
        </w:rPr>
        <w:fldChar w:fldCharType="begin"/>
      </w:r>
      <w:r w:rsidR="00E267CD">
        <w:rPr>
          <w:b/>
          <w:bCs/>
          <w:color w:val="000000"/>
          <w:sz w:val="36"/>
          <w:szCs w:val="36"/>
        </w:rPr>
        <w:instrText xml:space="preserve"> MACROBUTTON MTEditEquationSection2 </w:instrText>
      </w:r>
      <w:r w:rsidR="00E267CD" w:rsidRPr="00E267CD">
        <w:rPr>
          <w:rStyle w:val="MTEquationSection"/>
        </w:rPr>
        <w:instrText>Equation Chapter 1 Section 1</w:instrText>
      </w:r>
      <w:r>
        <w:rPr>
          <w:b/>
          <w:bCs/>
          <w:color w:val="000000"/>
          <w:sz w:val="36"/>
          <w:szCs w:val="36"/>
        </w:rPr>
        <w:fldChar w:fldCharType="begin"/>
      </w:r>
      <w:r w:rsidR="00E267CD">
        <w:rPr>
          <w:b/>
          <w:bCs/>
          <w:color w:val="000000"/>
          <w:sz w:val="36"/>
          <w:szCs w:val="36"/>
        </w:rPr>
        <w:instrText xml:space="preserve"> SEQ MTEqn \r \h \* MERGEFORMAT </w:instrText>
      </w:r>
      <w:r>
        <w:rPr>
          <w:b/>
          <w:bCs/>
          <w:color w:val="000000"/>
          <w:sz w:val="36"/>
          <w:szCs w:val="36"/>
        </w:rPr>
        <w:fldChar w:fldCharType="end"/>
      </w:r>
      <w:r>
        <w:rPr>
          <w:b/>
          <w:bCs/>
          <w:color w:val="000000"/>
          <w:sz w:val="36"/>
          <w:szCs w:val="36"/>
        </w:rPr>
        <w:fldChar w:fldCharType="begin"/>
      </w:r>
      <w:r w:rsidR="00E267CD">
        <w:rPr>
          <w:b/>
          <w:bCs/>
          <w:color w:val="000000"/>
          <w:sz w:val="36"/>
          <w:szCs w:val="36"/>
        </w:rPr>
        <w:instrText xml:space="preserve"> SEQ MTSec \r 1 \h \* MERGEFORMAT </w:instrText>
      </w:r>
      <w:r>
        <w:rPr>
          <w:b/>
          <w:bCs/>
          <w:color w:val="000000"/>
          <w:sz w:val="36"/>
          <w:szCs w:val="36"/>
        </w:rPr>
        <w:fldChar w:fldCharType="end"/>
      </w:r>
      <w:r>
        <w:rPr>
          <w:b/>
          <w:bCs/>
          <w:color w:val="000000"/>
          <w:sz w:val="36"/>
          <w:szCs w:val="36"/>
        </w:rPr>
        <w:fldChar w:fldCharType="begin"/>
      </w:r>
      <w:r w:rsidR="00E267CD">
        <w:rPr>
          <w:b/>
          <w:bCs/>
          <w:color w:val="000000"/>
          <w:sz w:val="36"/>
          <w:szCs w:val="36"/>
        </w:rPr>
        <w:instrText xml:space="preserve"> SEQ MTChap \r 1 \h \* MERGEFORMAT </w:instrText>
      </w:r>
      <w:r>
        <w:rPr>
          <w:b/>
          <w:bCs/>
          <w:color w:val="000000"/>
          <w:sz w:val="36"/>
          <w:szCs w:val="36"/>
        </w:rPr>
        <w:fldChar w:fldCharType="end"/>
      </w:r>
      <w:r>
        <w:rPr>
          <w:b/>
          <w:bCs/>
          <w:color w:val="000000"/>
          <w:sz w:val="36"/>
          <w:szCs w:val="36"/>
        </w:rPr>
        <w:fldChar w:fldCharType="end"/>
      </w:r>
      <w:r w:rsidR="002C7FE6">
        <w:rPr>
          <w:b/>
          <w:bCs/>
          <w:color w:val="000000"/>
          <w:sz w:val="28"/>
          <w:szCs w:val="28"/>
        </w:rPr>
        <w:t>Primary dose components of three 6 MV photon beams</w:t>
      </w:r>
    </w:p>
    <w:p w14:paraId="06408DD9" w14:textId="77777777" w:rsidR="00EF28F5" w:rsidRPr="00654B33" w:rsidRDefault="00EF28F5" w:rsidP="00EF28F5">
      <w:pPr>
        <w:autoSpaceDE w:val="0"/>
        <w:autoSpaceDN w:val="0"/>
        <w:adjustRightInd w:val="0"/>
        <w:jc w:val="center"/>
        <w:rPr>
          <w:b/>
          <w:bCs/>
          <w:color w:val="000000"/>
          <w:sz w:val="20"/>
          <w:szCs w:val="20"/>
        </w:rPr>
      </w:pPr>
    </w:p>
    <w:p w14:paraId="48D4520C" w14:textId="77777777" w:rsidR="002C7FE6" w:rsidRDefault="002C7FE6" w:rsidP="00160B67">
      <w:pPr>
        <w:autoSpaceDE w:val="0"/>
        <w:autoSpaceDN w:val="0"/>
        <w:adjustRightInd w:val="0"/>
        <w:jc w:val="center"/>
        <w:rPr>
          <w:b/>
          <w:bCs/>
          <w:color w:val="000000"/>
          <w:sz w:val="20"/>
          <w:szCs w:val="20"/>
        </w:rPr>
      </w:pPr>
      <w:r>
        <w:rPr>
          <w:b/>
          <w:bCs/>
          <w:color w:val="000000"/>
          <w:sz w:val="20"/>
          <w:szCs w:val="20"/>
          <w:u w:val="single"/>
        </w:rPr>
        <w:t>Christoph Trauernicht</w:t>
      </w:r>
      <w:r>
        <w:rPr>
          <w:bCs/>
          <w:color w:val="000000"/>
          <w:sz w:val="20"/>
          <w:szCs w:val="20"/>
          <w:vertAlign w:val="superscript"/>
        </w:rPr>
        <w:t>1</w:t>
      </w:r>
    </w:p>
    <w:p w14:paraId="086839ED" w14:textId="2A85E4BD" w:rsidR="00F20A8D" w:rsidRPr="00654B33" w:rsidRDefault="002C7FE6" w:rsidP="002C7FE6">
      <w:pPr>
        <w:autoSpaceDE w:val="0"/>
        <w:autoSpaceDN w:val="0"/>
        <w:adjustRightInd w:val="0"/>
        <w:jc w:val="center"/>
        <w:rPr>
          <w:i/>
          <w:iCs/>
          <w:color w:val="000000"/>
          <w:sz w:val="16"/>
          <w:szCs w:val="16"/>
        </w:rPr>
      </w:pPr>
      <w:r w:rsidRPr="002C7FE6">
        <w:rPr>
          <w:color w:val="000000"/>
          <w:sz w:val="20"/>
          <w:szCs w:val="20"/>
          <w:vertAlign w:val="superscript"/>
        </w:rPr>
        <w:t>1</w:t>
      </w:r>
      <w:r w:rsidRPr="002C7FE6">
        <w:rPr>
          <w:b/>
          <w:bCs/>
          <w:color w:val="000000"/>
          <w:sz w:val="16"/>
          <w:szCs w:val="16"/>
          <w:vertAlign w:val="superscript"/>
        </w:rPr>
        <w:t xml:space="preserve"> </w:t>
      </w:r>
      <w:r w:rsidRPr="002C7FE6">
        <w:rPr>
          <w:color w:val="000000"/>
          <w:sz w:val="16"/>
          <w:szCs w:val="16"/>
        </w:rPr>
        <w:t>Tygerberg Hospital</w:t>
      </w:r>
      <w:r>
        <w:rPr>
          <w:color w:val="000000"/>
          <w:sz w:val="16"/>
          <w:szCs w:val="16"/>
        </w:rPr>
        <w:t xml:space="preserve"> and Stellenbosch University, Francie van Zijl Drive, 7505 Tygerberg, South Africa</w:t>
      </w:r>
      <w:r w:rsidRPr="002C7FE6">
        <w:rPr>
          <w:color w:val="000000"/>
          <w:sz w:val="16"/>
          <w:szCs w:val="16"/>
        </w:rPr>
        <w:t xml:space="preserve"> </w:t>
      </w:r>
    </w:p>
    <w:p w14:paraId="2182F7E4" w14:textId="16E75124" w:rsidR="00160B67" w:rsidRPr="00654B33" w:rsidRDefault="00A974FA" w:rsidP="00160B67">
      <w:pPr>
        <w:autoSpaceDE w:val="0"/>
        <w:autoSpaceDN w:val="0"/>
        <w:adjustRightInd w:val="0"/>
        <w:jc w:val="center"/>
        <w:rPr>
          <w:i/>
          <w:iCs/>
          <w:color w:val="000000"/>
          <w:sz w:val="16"/>
          <w:szCs w:val="16"/>
        </w:rPr>
      </w:pPr>
      <w:r>
        <w:rPr>
          <w:i/>
          <w:iCs/>
          <w:color w:val="000000"/>
          <w:sz w:val="16"/>
          <w:szCs w:val="16"/>
        </w:rPr>
        <w:t>Corresponding a</w:t>
      </w:r>
      <w:r w:rsidR="00160B67" w:rsidRPr="00654B33">
        <w:rPr>
          <w:i/>
          <w:iCs/>
          <w:color w:val="000000"/>
          <w:sz w:val="16"/>
          <w:szCs w:val="16"/>
        </w:rPr>
        <w:t xml:space="preserve">uthor e-mail address: </w:t>
      </w:r>
      <w:r w:rsidR="002C7FE6">
        <w:rPr>
          <w:i/>
          <w:iCs/>
          <w:color w:val="000000"/>
          <w:sz w:val="16"/>
          <w:szCs w:val="16"/>
        </w:rPr>
        <w:t>cjt@sun.ac.za</w:t>
      </w:r>
    </w:p>
    <w:p w14:paraId="386CB88A" w14:textId="77777777" w:rsidR="0065340D" w:rsidRPr="00654B33" w:rsidRDefault="0065340D" w:rsidP="00160B67">
      <w:pPr>
        <w:autoSpaceDE w:val="0"/>
        <w:autoSpaceDN w:val="0"/>
        <w:adjustRightInd w:val="0"/>
        <w:jc w:val="center"/>
        <w:rPr>
          <w:i/>
          <w:iCs/>
          <w:color w:val="000000"/>
          <w:sz w:val="20"/>
          <w:szCs w:val="20"/>
        </w:rPr>
      </w:pPr>
    </w:p>
    <w:p w14:paraId="3DF0651B" w14:textId="43209DAE" w:rsidR="00160B67" w:rsidRPr="00654B33" w:rsidRDefault="00F20A8D" w:rsidP="00160B67">
      <w:pPr>
        <w:autoSpaceDE w:val="0"/>
        <w:autoSpaceDN w:val="0"/>
        <w:adjustRightInd w:val="0"/>
        <w:rPr>
          <w:b/>
          <w:bCs/>
          <w:color w:val="000000"/>
          <w:sz w:val="20"/>
          <w:szCs w:val="20"/>
        </w:rPr>
      </w:pPr>
      <w:r w:rsidRPr="00654B33">
        <w:rPr>
          <w:b/>
          <w:bCs/>
          <w:color w:val="000000"/>
          <w:sz w:val="20"/>
          <w:szCs w:val="20"/>
        </w:rPr>
        <w:t xml:space="preserve">1. Introduction </w:t>
      </w:r>
    </w:p>
    <w:p w14:paraId="4A638C3B" w14:textId="77777777" w:rsidR="0065340D" w:rsidRPr="00654B33" w:rsidRDefault="0065340D" w:rsidP="00160B67">
      <w:pPr>
        <w:autoSpaceDE w:val="0"/>
        <w:autoSpaceDN w:val="0"/>
        <w:adjustRightInd w:val="0"/>
        <w:rPr>
          <w:b/>
          <w:bCs/>
          <w:color w:val="000000"/>
          <w:sz w:val="20"/>
          <w:szCs w:val="20"/>
        </w:rPr>
      </w:pPr>
    </w:p>
    <w:p w14:paraId="5962281D" w14:textId="0B76EEC1" w:rsidR="00C439CC" w:rsidRDefault="00C439CC" w:rsidP="00531E90">
      <w:pPr>
        <w:pStyle w:val="MTDisplayEquation"/>
      </w:pPr>
      <w:r w:rsidRPr="00C439CC">
        <w:t xml:space="preserve">It is a common technique in radiotherapy treatment planning systems to simplify the calculations by splitting the radiation beam into two components: namely the primary and scattered components. The primary component is the radiation which arrives at the point of interest without having had any interactions. The scattered component is the radiation which arrives at the point of interest having undergone at least one interaction. The contributions of the two components are evaluated separately and then summed to give the dose at the point of interest. It is of vital importance to determine these components as accurately as possible, as any error will have an impact on the dose the patient receives. Usually the primary dose is obtained experimentally by extrapolating the ionization measured within the medium to zero field size. This approach offers the opportunity to obtain the primary component of dose without the need for an uncertain non-linear extrapolation. It is based on </w:t>
      </w:r>
      <w:r w:rsidR="003535CF">
        <w:t>two</w:t>
      </w:r>
      <w:r w:rsidRPr="00C439CC">
        <w:t xml:space="preserve"> paper</w:t>
      </w:r>
      <w:r w:rsidR="000F6572">
        <w:t>s</w:t>
      </w:r>
      <w:r w:rsidRPr="00C439CC">
        <w:t xml:space="preserve"> by Nizin &amp; Kase from 1988</w:t>
      </w:r>
      <w:r w:rsidR="003535CF">
        <w:t xml:space="preserve"> and 1990</w:t>
      </w:r>
      <w:r w:rsidR="00AB20B1">
        <w:t xml:space="preserve"> [1,2]</w:t>
      </w:r>
      <w:r w:rsidRPr="00C439CC">
        <w:t>.</w:t>
      </w:r>
    </w:p>
    <w:p w14:paraId="5274C352" w14:textId="1F6DFBD0" w:rsidR="00A9295F" w:rsidRDefault="00BE279C" w:rsidP="00531E90">
      <w:pPr>
        <w:pStyle w:val="MTDisplayEquation"/>
      </w:pPr>
      <w:r>
        <w:tab/>
      </w:r>
    </w:p>
    <w:p w14:paraId="0418E248" w14:textId="77777777" w:rsidR="00C439CC" w:rsidRDefault="00214CB1" w:rsidP="00160B67">
      <w:pPr>
        <w:autoSpaceDE w:val="0"/>
        <w:autoSpaceDN w:val="0"/>
        <w:adjustRightInd w:val="0"/>
        <w:rPr>
          <w:b/>
          <w:color w:val="000000"/>
          <w:sz w:val="20"/>
          <w:szCs w:val="20"/>
        </w:rPr>
      </w:pPr>
      <w:r>
        <w:rPr>
          <w:b/>
          <w:color w:val="000000"/>
          <w:sz w:val="20"/>
          <w:szCs w:val="20"/>
        </w:rPr>
        <w:t>2.</w:t>
      </w:r>
      <w:r w:rsidR="00C439CC">
        <w:rPr>
          <w:b/>
          <w:color w:val="000000"/>
          <w:sz w:val="20"/>
          <w:szCs w:val="20"/>
        </w:rPr>
        <w:t xml:space="preserve"> Design and Method</w:t>
      </w:r>
    </w:p>
    <w:p w14:paraId="7B5CE6AC" w14:textId="74F8B3DC" w:rsidR="00C439CC" w:rsidRDefault="00214CB1" w:rsidP="00160B67">
      <w:pPr>
        <w:autoSpaceDE w:val="0"/>
        <w:autoSpaceDN w:val="0"/>
        <w:adjustRightInd w:val="0"/>
        <w:rPr>
          <w:b/>
          <w:color w:val="000000"/>
          <w:sz w:val="20"/>
          <w:szCs w:val="20"/>
        </w:rPr>
      </w:pPr>
      <w:r>
        <w:rPr>
          <w:b/>
          <w:color w:val="000000"/>
          <w:sz w:val="20"/>
          <w:szCs w:val="20"/>
        </w:rPr>
        <w:t xml:space="preserve"> </w:t>
      </w:r>
    </w:p>
    <w:p w14:paraId="1804756D" w14:textId="77777777" w:rsidR="00C439CC" w:rsidRDefault="00C439CC" w:rsidP="00C439CC">
      <w:pPr>
        <w:autoSpaceDE w:val="0"/>
        <w:autoSpaceDN w:val="0"/>
        <w:adjustRightInd w:val="0"/>
        <w:jc w:val="both"/>
        <w:rPr>
          <w:color w:val="000000"/>
          <w:sz w:val="20"/>
          <w:szCs w:val="20"/>
        </w:rPr>
      </w:pPr>
      <w:r w:rsidRPr="00C439CC">
        <w:rPr>
          <w:color w:val="000000"/>
          <w:sz w:val="20"/>
          <w:szCs w:val="20"/>
        </w:rPr>
        <w:t xml:space="preserve">The total dose in a broad beam can be described as the sum of the primary and scattered dose components </w:t>
      </w:r>
    </w:p>
    <w:p w14:paraId="4BC108A2" w14:textId="34DB0B07" w:rsidR="00C439CC" w:rsidRPr="00C439CC" w:rsidRDefault="00C439CC" w:rsidP="00C439CC">
      <w:pPr>
        <w:autoSpaceDE w:val="0"/>
        <w:autoSpaceDN w:val="0"/>
        <w:adjustRightInd w:val="0"/>
        <w:jc w:val="both"/>
        <w:rPr>
          <w:color w:val="000000"/>
          <w:sz w:val="20"/>
          <w:szCs w:val="20"/>
        </w:rPr>
      </w:pPr>
      <w:r w:rsidRPr="00C439CC">
        <w:rPr>
          <w:color w:val="000000"/>
          <w:sz w:val="20"/>
          <w:szCs w:val="20"/>
        </w:rPr>
        <w:t>(D</w:t>
      </w:r>
      <w:r w:rsidRPr="00C439CC">
        <w:rPr>
          <w:color w:val="000000"/>
          <w:sz w:val="20"/>
          <w:szCs w:val="20"/>
          <w:vertAlign w:val="subscript"/>
        </w:rPr>
        <w:t>T</w:t>
      </w:r>
      <w:r w:rsidRPr="00C439CC">
        <w:rPr>
          <w:color w:val="000000"/>
          <w:sz w:val="20"/>
          <w:szCs w:val="20"/>
        </w:rPr>
        <w:t xml:space="preserve"> = Dp + Ds). A small diameter central axis absorber (denoted by superscript i) is placed between the source of radiation and the point of interest, resulting in additional attenuation of primary photons without appreciably changing the scattered component of the beam (</w:t>
      </w:r>
      <w:r>
        <w:rPr>
          <w:color w:val="000000"/>
          <w:sz w:val="20"/>
          <w:szCs w:val="20"/>
        </w:rPr>
        <w:t>D</w:t>
      </w:r>
      <w:r>
        <w:rPr>
          <w:color w:val="000000"/>
          <w:sz w:val="20"/>
          <w:szCs w:val="20"/>
          <w:vertAlign w:val="superscript"/>
        </w:rPr>
        <w:t>i</w:t>
      </w:r>
      <w:r>
        <w:rPr>
          <w:color w:val="000000"/>
          <w:sz w:val="20"/>
          <w:szCs w:val="20"/>
          <w:vertAlign w:val="subscript"/>
        </w:rPr>
        <w:t>T</w:t>
      </w:r>
      <w:r>
        <w:rPr>
          <w:color w:val="000000"/>
          <w:sz w:val="20"/>
          <w:szCs w:val="20"/>
        </w:rPr>
        <w:t xml:space="preserve"> = D</w:t>
      </w:r>
      <w:r>
        <w:rPr>
          <w:color w:val="000000"/>
          <w:sz w:val="20"/>
          <w:szCs w:val="20"/>
          <w:vertAlign w:val="superscript"/>
        </w:rPr>
        <w:t>i</w:t>
      </w:r>
      <w:r>
        <w:rPr>
          <w:color w:val="000000"/>
          <w:sz w:val="20"/>
          <w:szCs w:val="20"/>
          <w:vertAlign w:val="subscript"/>
        </w:rPr>
        <w:t xml:space="preserve">P </w:t>
      </w:r>
      <w:r w:rsidRPr="00C439CC">
        <w:rPr>
          <w:color w:val="000000"/>
          <w:sz w:val="20"/>
          <w:szCs w:val="20"/>
        </w:rPr>
        <w:t>+ Ds)</w:t>
      </w:r>
      <w:r>
        <w:rPr>
          <w:color w:val="000000"/>
          <w:sz w:val="20"/>
          <w:szCs w:val="20"/>
        </w:rPr>
        <w:t xml:space="preserve">. </w:t>
      </w:r>
      <w:r w:rsidRPr="00C439CC">
        <w:rPr>
          <w:color w:val="000000"/>
          <w:sz w:val="20"/>
          <w:szCs w:val="20"/>
        </w:rPr>
        <w:t xml:space="preserve">For a specified depth d in a phantom, the ratio of primary components is independent of field size: Dp / </w:t>
      </w:r>
      <w:r>
        <w:rPr>
          <w:color w:val="000000"/>
          <w:sz w:val="20"/>
          <w:szCs w:val="20"/>
        </w:rPr>
        <w:t>D</w:t>
      </w:r>
      <w:r>
        <w:rPr>
          <w:color w:val="000000"/>
          <w:sz w:val="20"/>
          <w:szCs w:val="20"/>
          <w:vertAlign w:val="superscript"/>
        </w:rPr>
        <w:t>i</w:t>
      </w:r>
      <w:r>
        <w:rPr>
          <w:color w:val="000000"/>
          <w:sz w:val="20"/>
          <w:szCs w:val="20"/>
          <w:vertAlign w:val="subscript"/>
        </w:rPr>
        <w:t>P</w:t>
      </w:r>
      <w:r w:rsidRPr="00C439CC">
        <w:rPr>
          <w:color w:val="000000"/>
          <w:sz w:val="20"/>
          <w:szCs w:val="20"/>
        </w:rPr>
        <w:t xml:space="preserve"> </w:t>
      </w:r>
      <w:r w:rsidRPr="00C439CC">
        <w:rPr>
          <w:color w:val="000000"/>
          <w:sz w:val="20"/>
          <w:szCs w:val="20"/>
        </w:rPr>
        <w:t>= constant = C</w:t>
      </w:r>
      <w:r w:rsidRPr="00C439CC">
        <w:rPr>
          <w:color w:val="000000"/>
          <w:sz w:val="20"/>
          <w:szCs w:val="20"/>
          <w:vertAlign w:val="subscript"/>
        </w:rPr>
        <w:t>D</w:t>
      </w:r>
      <w:r w:rsidRPr="00C439CC">
        <w:rPr>
          <w:color w:val="000000"/>
          <w:sz w:val="20"/>
          <w:szCs w:val="20"/>
        </w:rPr>
        <w:t>.</w:t>
      </w:r>
    </w:p>
    <w:p w14:paraId="47750BD6" w14:textId="2D8BE89B" w:rsidR="00C439CC" w:rsidRPr="00C439CC" w:rsidRDefault="00C439CC" w:rsidP="00C439CC">
      <w:pPr>
        <w:autoSpaceDE w:val="0"/>
        <w:autoSpaceDN w:val="0"/>
        <w:adjustRightInd w:val="0"/>
        <w:jc w:val="both"/>
        <w:rPr>
          <w:color w:val="000000"/>
          <w:sz w:val="20"/>
          <w:szCs w:val="20"/>
        </w:rPr>
      </w:pPr>
      <w:r w:rsidRPr="00C439CC">
        <w:rPr>
          <w:color w:val="000000"/>
          <w:sz w:val="20"/>
          <w:szCs w:val="20"/>
        </w:rPr>
        <w:t>Thus: Dp (d) = [1 – 1/ C</w:t>
      </w:r>
      <w:r w:rsidRPr="00C439CC">
        <w:rPr>
          <w:color w:val="000000"/>
          <w:sz w:val="20"/>
          <w:szCs w:val="20"/>
          <w:vertAlign w:val="subscript"/>
        </w:rPr>
        <w:t>D</w:t>
      </w:r>
      <w:r w:rsidRPr="00C439CC">
        <w:rPr>
          <w:color w:val="000000"/>
          <w:sz w:val="20"/>
          <w:szCs w:val="20"/>
        </w:rPr>
        <w:t>(d)]</w:t>
      </w:r>
      <w:r w:rsidRPr="00C439CC">
        <w:rPr>
          <w:color w:val="000000"/>
          <w:sz w:val="20"/>
          <w:szCs w:val="20"/>
          <w:vertAlign w:val="superscript"/>
        </w:rPr>
        <w:t>-1</w:t>
      </w:r>
      <w:r w:rsidRPr="00C439CC">
        <w:rPr>
          <w:color w:val="000000"/>
          <w:sz w:val="20"/>
          <w:szCs w:val="20"/>
        </w:rPr>
        <w:t xml:space="preserve"> ∙ [D</w:t>
      </w:r>
      <w:r w:rsidRPr="00C439CC">
        <w:rPr>
          <w:color w:val="000000"/>
          <w:sz w:val="20"/>
          <w:szCs w:val="20"/>
          <w:vertAlign w:val="subscript"/>
        </w:rPr>
        <w:t>T</w:t>
      </w:r>
      <w:r w:rsidRPr="00C439CC">
        <w:rPr>
          <w:color w:val="000000"/>
          <w:sz w:val="20"/>
          <w:szCs w:val="20"/>
        </w:rPr>
        <w:t xml:space="preserve"> (</w:t>
      </w:r>
      <w:proofErr w:type="gramStart"/>
      <w:r w:rsidRPr="00C439CC">
        <w:rPr>
          <w:color w:val="000000"/>
          <w:sz w:val="20"/>
          <w:szCs w:val="20"/>
        </w:rPr>
        <w:t>d,S</w:t>
      </w:r>
      <w:proofErr w:type="gramEnd"/>
      <w:r w:rsidRPr="00C439CC">
        <w:rPr>
          <w:color w:val="000000"/>
          <w:sz w:val="20"/>
          <w:szCs w:val="20"/>
        </w:rPr>
        <w:t xml:space="preserve">) - </w:t>
      </w:r>
      <w:r>
        <w:rPr>
          <w:color w:val="000000"/>
          <w:sz w:val="20"/>
          <w:szCs w:val="20"/>
        </w:rPr>
        <w:t>D</w:t>
      </w:r>
      <w:r>
        <w:rPr>
          <w:color w:val="000000"/>
          <w:sz w:val="20"/>
          <w:szCs w:val="20"/>
          <w:vertAlign w:val="superscript"/>
        </w:rPr>
        <w:t>i</w:t>
      </w:r>
      <w:r>
        <w:rPr>
          <w:color w:val="000000"/>
          <w:sz w:val="20"/>
          <w:szCs w:val="20"/>
          <w:vertAlign w:val="subscript"/>
        </w:rPr>
        <w:t>T</w:t>
      </w:r>
      <w:r w:rsidRPr="00C439CC">
        <w:rPr>
          <w:color w:val="000000"/>
          <w:sz w:val="20"/>
          <w:szCs w:val="20"/>
        </w:rPr>
        <w:t>(d,S)]</w:t>
      </w:r>
    </w:p>
    <w:p w14:paraId="7053FA8A" w14:textId="77777777" w:rsidR="00C439CC" w:rsidRPr="00C439CC" w:rsidRDefault="00C439CC" w:rsidP="00C439CC">
      <w:pPr>
        <w:autoSpaceDE w:val="0"/>
        <w:autoSpaceDN w:val="0"/>
        <w:adjustRightInd w:val="0"/>
        <w:jc w:val="both"/>
        <w:rPr>
          <w:color w:val="000000"/>
          <w:sz w:val="20"/>
          <w:szCs w:val="20"/>
        </w:rPr>
      </w:pPr>
      <w:r w:rsidRPr="00C439CC">
        <w:rPr>
          <w:color w:val="000000"/>
          <w:sz w:val="20"/>
          <w:szCs w:val="20"/>
        </w:rPr>
        <w:t>C</w:t>
      </w:r>
      <w:r w:rsidRPr="00C439CC">
        <w:rPr>
          <w:color w:val="000000"/>
          <w:sz w:val="20"/>
          <w:szCs w:val="20"/>
          <w:vertAlign w:val="subscript"/>
        </w:rPr>
        <w:t>D</w:t>
      </w:r>
      <w:r w:rsidRPr="00C439CC">
        <w:rPr>
          <w:color w:val="000000"/>
          <w:sz w:val="20"/>
          <w:szCs w:val="20"/>
        </w:rPr>
        <w:t xml:space="preserve"> can be measured by a series of ionization measurements with and without the attenuator in a narrow beam. The value of C</w:t>
      </w:r>
      <w:r w:rsidRPr="00C439CC">
        <w:rPr>
          <w:color w:val="000000"/>
          <w:sz w:val="20"/>
          <w:szCs w:val="20"/>
          <w:vertAlign w:val="subscript"/>
        </w:rPr>
        <w:t>D</w:t>
      </w:r>
      <w:r w:rsidRPr="00C439CC">
        <w:rPr>
          <w:color w:val="000000"/>
          <w:sz w:val="20"/>
          <w:szCs w:val="20"/>
        </w:rPr>
        <w:t xml:space="preserve"> together with the total doses with and without the central axis attenuator in the beam enables one to calculate the primary dose component of the beam. </w:t>
      </w:r>
    </w:p>
    <w:p w14:paraId="3CAD46B2" w14:textId="716D0E7D" w:rsidR="00F9475E" w:rsidRPr="004A7EA4" w:rsidRDefault="00C439CC" w:rsidP="00C439CC">
      <w:pPr>
        <w:autoSpaceDE w:val="0"/>
        <w:autoSpaceDN w:val="0"/>
        <w:adjustRightInd w:val="0"/>
        <w:jc w:val="both"/>
        <w:rPr>
          <w:color w:val="000000"/>
          <w:sz w:val="20"/>
          <w:szCs w:val="20"/>
        </w:rPr>
      </w:pPr>
      <w:r w:rsidRPr="00C439CC">
        <w:rPr>
          <w:color w:val="000000"/>
          <w:sz w:val="20"/>
          <w:szCs w:val="20"/>
        </w:rPr>
        <w:t xml:space="preserve">Measurements were done in Philips SL75-5, Siemens Mevatron KD2 and Varian 2300 </w:t>
      </w:r>
      <w:r w:rsidRPr="00C439CC">
        <w:rPr>
          <w:color w:val="000000"/>
          <w:sz w:val="20"/>
          <w:szCs w:val="20"/>
        </w:rPr>
        <w:t>Clinac 6</w:t>
      </w:r>
      <w:r>
        <w:rPr>
          <w:color w:val="000000"/>
          <w:sz w:val="20"/>
          <w:szCs w:val="20"/>
        </w:rPr>
        <w:t xml:space="preserve"> </w:t>
      </w:r>
      <w:r w:rsidRPr="00C439CC">
        <w:rPr>
          <w:color w:val="000000"/>
          <w:sz w:val="20"/>
          <w:szCs w:val="20"/>
        </w:rPr>
        <w:t>MV photon beams. Lead attenuators of 1 cm and 2 cm thickness were used</w:t>
      </w:r>
      <w:proofErr w:type="gramStart"/>
      <w:r w:rsidRPr="00C439CC">
        <w:rPr>
          <w:color w:val="000000"/>
          <w:sz w:val="20"/>
          <w:szCs w:val="20"/>
        </w:rPr>
        <w:t>.</w:t>
      </w:r>
      <w:r w:rsidR="00020AF4">
        <w:rPr>
          <w:color w:val="000000"/>
          <w:sz w:val="20"/>
          <w:szCs w:val="20"/>
        </w:rPr>
        <w:t xml:space="preserve">  </w:t>
      </w:r>
      <w:proofErr w:type="gramEnd"/>
      <w:r w:rsidR="00020AF4">
        <w:rPr>
          <w:color w:val="000000"/>
          <w:sz w:val="20"/>
          <w:szCs w:val="20"/>
        </w:rPr>
        <w:t xml:space="preserve">       </w:t>
      </w:r>
    </w:p>
    <w:p w14:paraId="5E7DE5BE" w14:textId="63C57CB7" w:rsidR="00365D1F" w:rsidRDefault="00365D1F" w:rsidP="00365D1F">
      <w:pPr>
        <w:autoSpaceDE w:val="0"/>
        <w:autoSpaceDN w:val="0"/>
        <w:adjustRightInd w:val="0"/>
        <w:rPr>
          <w:b/>
          <w:color w:val="000000"/>
          <w:sz w:val="20"/>
          <w:szCs w:val="20"/>
        </w:rPr>
      </w:pPr>
    </w:p>
    <w:p w14:paraId="103581C3" w14:textId="2EA915B2" w:rsidR="00C439CC" w:rsidRDefault="00C439CC" w:rsidP="00C439CC">
      <w:pPr>
        <w:autoSpaceDE w:val="0"/>
        <w:autoSpaceDN w:val="0"/>
        <w:adjustRightInd w:val="0"/>
        <w:rPr>
          <w:bCs/>
          <w:color w:val="000000"/>
          <w:sz w:val="20"/>
          <w:szCs w:val="20"/>
        </w:rPr>
      </w:pPr>
      <w:r>
        <w:rPr>
          <w:b/>
          <w:color w:val="000000"/>
          <w:sz w:val="20"/>
          <w:szCs w:val="20"/>
        </w:rPr>
        <w:t>3</w:t>
      </w:r>
      <w:r>
        <w:rPr>
          <w:b/>
          <w:color w:val="000000"/>
          <w:sz w:val="20"/>
          <w:szCs w:val="20"/>
        </w:rPr>
        <w:t xml:space="preserve">. </w:t>
      </w:r>
      <w:r>
        <w:rPr>
          <w:b/>
          <w:color w:val="000000"/>
          <w:sz w:val="20"/>
          <w:szCs w:val="20"/>
        </w:rPr>
        <w:t>Results</w:t>
      </w:r>
    </w:p>
    <w:p w14:paraId="27B219CB" w14:textId="76944933" w:rsidR="00C439CC" w:rsidRDefault="00C439CC" w:rsidP="00C439CC">
      <w:pPr>
        <w:autoSpaceDE w:val="0"/>
        <w:autoSpaceDN w:val="0"/>
        <w:adjustRightInd w:val="0"/>
        <w:rPr>
          <w:bCs/>
          <w:color w:val="000000"/>
          <w:sz w:val="20"/>
          <w:szCs w:val="20"/>
        </w:rPr>
      </w:pPr>
    </w:p>
    <w:p w14:paraId="31C91C2B" w14:textId="61BAC9BE" w:rsidR="00C439CC" w:rsidRPr="00C439CC" w:rsidRDefault="00C439CC" w:rsidP="00C439CC">
      <w:pPr>
        <w:autoSpaceDE w:val="0"/>
        <w:autoSpaceDN w:val="0"/>
        <w:adjustRightInd w:val="0"/>
        <w:rPr>
          <w:bCs/>
          <w:color w:val="000000"/>
          <w:sz w:val="20"/>
          <w:szCs w:val="20"/>
        </w:rPr>
      </w:pPr>
      <w:r w:rsidRPr="00C439CC">
        <w:rPr>
          <w:bCs/>
          <w:color w:val="000000"/>
          <w:sz w:val="20"/>
          <w:szCs w:val="20"/>
        </w:rPr>
        <w:t xml:space="preserve">The values for the primary doses at dmax in a 10 cm x 10 cm field ranged from 0.925 Gy/100MU </w:t>
      </w:r>
      <w:r w:rsidR="00AB20B1">
        <w:rPr>
          <w:bCs/>
          <w:color w:val="000000"/>
          <w:sz w:val="20"/>
          <w:szCs w:val="20"/>
        </w:rPr>
        <w:t>-</w:t>
      </w:r>
      <w:r w:rsidRPr="00C439CC">
        <w:rPr>
          <w:bCs/>
          <w:color w:val="000000"/>
          <w:sz w:val="20"/>
          <w:szCs w:val="20"/>
        </w:rPr>
        <w:t xml:space="preserve"> 0.943</w:t>
      </w:r>
      <w:r>
        <w:rPr>
          <w:bCs/>
          <w:color w:val="000000"/>
          <w:sz w:val="20"/>
          <w:szCs w:val="20"/>
        </w:rPr>
        <w:t xml:space="preserve"> </w:t>
      </w:r>
      <w:r w:rsidRPr="00C439CC">
        <w:rPr>
          <w:bCs/>
          <w:color w:val="000000"/>
          <w:sz w:val="20"/>
          <w:szCs w:val="20"/>
        </w:rPr>
        <w:t>Gy/100MU with uncertainties ranging from 3.3% to 5.2%</w:t>
      </w:r>
      <w:r w:rsidR="00AB20B1">
        <w:rPr>
          <w:bCs/>
          <w:color w:val="000000"/>
          <w:sz w:val="20"/>
          <w:szCs w:val="20"/>
        </w:rPr>
        <w:t xml:space="preserve"> [3</w:t>
      </w:r>
      <w:r w:rsidR="003535CF">
        <w:rPr>
          <w:bCs/>
          <w:color w:val="000000"/>
          <w:sz w:val="20"/>
          <w:szCs w:val="20"/>
        </w:rPr>
        <w:t>,4</w:t>
      </w:r>
      <w:r w:rsidR="00AB20B1">
        <w:rPr>
          <w:bCs/>
          <w:color w:val="000000"/>
          <w:sz w:val="20"/>
          <w:szCs w:val="20"/>
        </w:rPr>
        <w:t>]</w:t>
      </w:r>
      <w:r w:rsidRPr="00C439CC">
        <w:rPr>
          <w:bCs/>
          <w:color w:val="000000"/>
          <w:sz w:val="20"/>
          <w:szCs w:val="20"/>
        </w:rPr>
        <w:t>.</w:t>
      </w:r>
    </w:p>
    <w:p w14:paraId="1EE38404" w14:textId="77777777" w:rsidR="00E370F4" w:rsidRDefault="00E370F4" w:rsidP="00365D1F">
      <w:pPr>
        <w:autoSpaceDE w:val="0"/>
        <w:autoSpaceDN w:val="0"/>
        <w:adjustRightInd w:val="0"/>
        <w:rPr>
          <w:b/>
          <w:color w:val="000000"/>
          <w:sz w:val="20"/>
          <w:szCs w:val="20"/>
        </w:rPr>
      </w:pPr>
    </w:p>
    <w:p w14:paraId="194C46B3" w14:textId="0C3AD7FF" w:rsidR="00D946F6" w:rsidRDefault="00AB20B1" w:rsidP="00160B67">
      <w:pPr>
        <w:autoSpaceDE w:val="0"/>
        <w:autoSpaceDN w:val="0"/>
        <w:adjustRightInd w:val="0"/>
        <w:rPr>
          <w:color w:val="000000"/>
          <w:sz w:val="20"/>
          <w:szCs w:val="20"/>
        </w:rPr>
      </w:pPr>
      <w:r>
        <w:rPr>
          <w:b/>
          <w:bCs/>
          <w:color w:val="000000"/>
          <w:sz w:val="20"/>
          <w:szCs w:val="20"/>
        </w:rPr>
        <w:t>4. Conclusion</w:t>
      </w:r>
    </w:p>
    <w:p w14:paraId="487D0975" w14:textId="7FE0B3B4" w:rsidR="00AB20B1" w:rsidRDefault="00AB20B1" w:rsidP="00160B67">
      <w:pPr>
        <w:autoSpaceDE w:val="0"/>
        <w:autoSpaceDN w:val="0"/>
        <w:adjustRightInd w:val="0"/>
        <w:rPr>
          <w:color w:val="000000"/>
          <w:sz w:val="20"/>
          <w:szCs w:val="20"/>
        </w:rPr>
      </w:pPr>
    </w:p>
    <w:p w14:paraId="6A5AF74D" w14:textId="0D673823" w:rsidR="00AB20B1" w:rsidRPr="00AB20B1" w:rsidRDefault="00AB20B1" w:rsidP="00160B67">
      <w:pPr>
        <w:autoSpaceDE w:val="0"/>
        <w:autoSpaceDN w:val="0"/>
        <w:adjustRightInd w:val="0"/>
        <w:rPr>
          <w:color w:val="000000"/>
          <w:sz w:val="20"/>
          <w:szCs w:val="20"/>
        </w:rPr>
      </w:pPr>
      <w:r w:rsidRPr="00AB20B1">
        <w:rPr>
          <w:color w:val="000000"/>
          <w:sz w:val="20"/>
          <w:szCs w:val="20"/>
        </w:rPr>
        <w:t>The obtained values of the primary dose component compare well with the values currently in use on the treatment planning systems as well as with Monte Carlo simulations. One can thus conclude that this method has the potential to provide an independent measurable verification of calculations of primary dose.</w:t>
      </w:r>
    </w:p>
    <w:p w14:paraId="1E41122D" w14:textId="77777777" w:rsidR="005119A3" w:rsidRDefault="005119A3" w:rsidP="00160B67">
      <w:pPr>
        <w:autoSpaceDE w:val="0"/>
        <w:autoSpaceDN w:val="0"/>
        <w:adjustRightInd w:val="0"/>
        <w:rPr>
          <w:color w:val="000000"/>
          <w:sz w:val="20"/>
          <w:szCs w:val="20"/>
        </w:rPr>
      </w:pPr>
    </w:p>
    <w:p w14:paraId="41631753" w14:textId="1E57FAEC" w:rsidR="00160B67" w:rsidRDefault="00AB20B1" w:rsidP="00160B67">
      <w:pPr>
        <w:autoSpaceDE w:val="0"/>
        <w:autoSpaceDN w:val="0"/>
        <w:adjustRightInd w:val="0"/>
        <w:rPr>
          <w:b/>
          <w:bCs/>
          <w:color w:val="000000"/>
          <w:sz w:val="20"/>
          <w:szCs w:val="20"/>
        </w:rPr>
      </w:pPr>
      <w:r>
        <w:rPr>
          <w:b/>
          <w:bCs/>
          <w:color w:val="000000"/>
          <w:sz w:val="20"/>
          <w:szCs w:val="20"/>
        </w:rPr>
        <w:t>5</w:t>
      </w:r>
      <w:r w:rsidR="00160B67">
        <w:rPr>
          <w:b/>
          <w:bCs/>
          <w:color w:val="000000"/>
          <w:sz w:val="20"/>
          <w:szCs w:val="20"/>
        </w:rPr>
        <w:t>. References</w:t>
      </w:r>
    </w:p>
    <w:p w14:paraId="11828FDD" w14:textId="77777777" w:rsidR="00160B67" w:rsidRDefault="00160B67" w:rsidP="00160B67">
      <w:pPr>
        <w:autoSpaceDE w:val="0"/>
        <w:autoSpaceDN w:val="0"/>
        <w:adjustRightInd w:val="0"/>
        <w:rPr>
          <w:color w:val="000000"/>
          <w:sz w:val="20"/>
          <w:szCs w:val="20"/>
        </w:rPr>
      </w:pPr>
    </w:p>
    <w:p w14:paraId="58D5DA6A" w14:textId="0FBB2648" w:rsidR="00AB20B1" w:rsidRDefault="00160B67" w:rsidP="00AB20B1">
      <w:pPr>
        <w:autoSpaceDE w:val="0"/>
        <w:autoSpaceDN w:val="0"/>
        <w:adjustRightInd w:val="0"/>
        <w:rPr>
          <w:i/>
          <w:iCs/>
          <w:color w:val="000000"/>
          <w:sz w:val="16"/>
          <w:szCs w:val="16"/>
        </w:rPr>
      </w:pPr>
      <w:r>
        <w:rPr>
          <w:color w:val="000000"/>
          <w:sz w:val="16"/>
          <w:szCs w:val="16"/>
        </w:rPr>
        <w:t>[</w:t>
      </w:r>
      <w:r w:rsidR="00B66A4E">
        <w:rPr>
          <w:color w:val="000000"/>
          <w:sz w:val="16"/>
          <w:szCs w:val="16"/>
        </w:rPr>
        <w:t>1</w:t>
      </w:r>
      <w:r>
        <w:rPr>
          <w:color w:val="000000"/>
          <w:sz w:val="16"/>
          <w:szCs w:val="16"/>
        </w:rPr>
        <w:t xml:space="preserve">] </w:t>
      </w:r>
      <w:r w:rsidR="00AB20B1">
        <w:rPr>
          <w:color w:val="000000"/>
          <w:sz w:val="16"/>
          <w:szCs w:val="16"/>
        </w:rPr>
        <w:t xml:space="preserve">P. Nizin and K. Kase. </w:t>
      </w:r>
      <w:r w:rsidR="00AB20B1">
        <w:rPr>
          <w:i/>
          <w:iCs/>
          <w:color w:val="000000"/>
          <w:sz w:val="16"/>
          <w:szCs w:val="16"/>
        </w:rPr>
        <w:t xml:space="preserve">Med. Phys. </w:t>
      </w:r>
      <w:r w:rsidR="00AB20B1" w:rsidRPr="00AB20B1">
        <w:rPr>
          <w:b/>
          <w:bCs/>
          <w:color w:val="000000"/>
          <w:sz w:val="16"/>
          <w:szCs w:val="16"/>
        </w:rPr>
        <w:t>15</w:t>
      </w:r>
      <w:r w:rsidR="00AB20B1" w:rsidRPr="00AB20B1">
        <w:rPr>
          <w:color w:val="000000"/>
          <w:sz w:val="16"/>
          <w:szCs w:val="16"/>
        </w:rPr>
        <w:t>(5) (1988) 683-686</w:t>
      </w:r>
    </w:p>
    <w:p w14:paraId="19B85BD2" w14:textId="4F13B4CD" w:rsidR="00AB20B1" w:rsidRDefault="00AB20B1" w:rsidP="00AB20B1">
      <w:pPr>
        <w:autoSpaceDE w:val="0"/>
        <w:autoSpaceDN w:val="0"/>
        <w:adjustRightInd w:val="0"/>
        <w:rPr>
          <w:color w:val="000000"/>
          <w:sz w:val="16"/>
          <w:szCs w:val="16"/>
        </w:rPr>
      </w:pPr>
      <w:r>
        <w:rPr>
          <w:color w:val="000000"/>
          <w:sz w:val="16"/>
          <w:szCs w:val="16"/>
        </w:rPr>
        <w:t xml:space="preserve">[2] P. Nizin and K. Kase. </w:t>
      </w:r>
      <w:r>
        <w:rPr>
          <w:i/>
          <w:iCs/>
          <w:color w:val="000000"/>
          <w:sz w:val="16"/>
          <w:szCs w:val="16"/>
        </w:rPr>
        <w:t>Med.Phys.</w:t>
      </w:r>
      <w:r>
        <w:rPr>
          <w:color w:val="000000"/>
          <w:sz w:val="16"/>
          <w:szCs w:val="16"/>
        </w:rPr>
        <w:t xml:space="preserve"> </w:t>
      </w:r>
      <w:r>
        <w:rPr>
          <w:b/>
          <w:bCs/>
          <w:color w:val="000000"/>
          <w:sz w:val="16"/>
          <w:szCs w:val="16"/>
        </w:rPr>
        <w:t>17</w:t>
      </w:r>
      <w:r>
        <w:rPr>
          <w:color w:val="000000"/>
          <w:sz w:val="16"/>
          <w:szCs w:val="16"/>
        </w:rPr>
        <w:t>(1) (1990) 92-94</w:t>
      </w:r>
    </w:p>
    <w:p w14:paraId="420BF45D" w14:textId="78BE955E" w:rsidR="003535CF" w:rsidRPr="003535CF" w:rsidRDefault="003535CF" w:rsidP="00AB20B1">
      <w:pPr>
        <w:autoSpaceDE w:val="0"/>
        <w:autoSpaceDN w:val="0"/>
        <w:adjustRightInd w:val="0"/>
        <w:rPr>
          <w:color w:val="000000"/>
          <w:sz w:val="16"/>
          <w:szCs w:val="16"/>
        </w:rPr>
      </w:pPr>
      <w:r>
        <w:rPr>
          <w:color w:val="000000"/>
          <w:sz w:val="16"/>
          <w:szCs w:val="16"/>
        </w:rPr>
        <w:t xml:space="preserve">[3] C. Trauernicht. </w:t>
      </w:r>
      <w:r>
        <w:rPr>
          <w:i/>
          <w:iCs/>
          <w:color w:val="000000"/>
          <w:sz w:val="16"/>
          <w:szCs w:val="16"/>
        </w:rPr>
        <w:t>Radiat. Meas.</w:t>
      </w:r>
      <w:r>
        <w:rPr>
          <w:color w:val="000000"/>
          <w:sz w:val="16"/>
          <w:szCs w:val="16"/>
        </w:rPr>
        <w:t xml:space="preserve"> </w:t>
      </w:r>
      <w:r>
        <w:rPr>
          <w:b/>
          <w:bCs/>
          <w:color w:val="000000"/>
          <w:sz w:val="16"/>
          <w:szCs w:val="16"/>
        </w:rPr>
        <w:t>45</w:t>
      </w:r>
      <w:r>
        <w:rPr>
          <w:color w:val="000000"/>
          <w:sz w:val="16"/>
          <w:szCs w:val="16"/>
        </w:rPr>
        <w:t>(101) (2010) 1465-1468</w:t>
      </w:r>
    </w:p>
    <w:p w14:paraId="1287E26D" w14:textId="5B043392" w:rsidR="00AB20B1" w:rsidRPr="00AB20B1" w:rsidRDefault="00AB20B1" w:rsidP="00AB20B1">
      <w:pPr>
        <w:autoSpaceDE w:val="0"/>
        <w:autoSpaceDN w:val="0"/>
        <w:adjustRightInd w:val="0"/>
        <w:rPr>
          <w:color w:val="000000"/>
          <w:sz w:val="16"/>
          <w:szCs w:val="16"/>
        </w:rPr>
      </w:pPr>
      <w:r>
        <w:rPr>
          <w:color w:val="000000"/>
          <w:sz w:val="16"/>
          <w:szCs w:val="16"/>
        </w:rPr>
        <w:t>[</w:t>
      </w:r>
      <w:r w:rsidR="003535CF">
        <w:rPr>
          <w:color w:val="000000"/>
          <w:sz w:val="16"/>
          <w:szCs w:val="16"/>
        </w:rPr>
        <w:t>4</w:t>
      </w:r>
      <w:r>
        <w:rPr>
          <w:color w:val="000000"/>
          <w:sz w:val="16"/>
          <w:szCs w:val="16"/>
        </w:rPr>
        <w:t>] C</w:t>
      </w:r>
      <w:r w:rsidR="003535CF">
        <w:rPr>
          <w:color w:val="000000"/>
          <w:sz w:val="16"/>
          <w:szCs w:val="16"/>
        </w:rPr>
        <w:t>.</w:t>
      </w:r>
      <w:r>
        <w:rPr>
          <w:color w:val="000000"/>
          <w:sz w:val="16"/>
          <w:szCs w:val="16"/>
        </w:rPr>
        <w:t xml:space="preserve"> Trauernicht</w:t>
      </w:r>
      <w:r w:rsidR="003535CF">
        <w:rPr>
          <w:color w:val="000000"/>
          <w:sz w:val="16"/>
          <w:szCs w:val="16"/>
        </w:rPr>
        <w:t xml:space="preserve">. </w:t>
      </w:r>
      <w:r w:rsidR="003535CF">
        <w:rPr>
          <w:i/>
          <w:iCs/>
          <w:color w:val="000000"/>
          <w:sz w:val="16"/>
          <w:szCs w:val="16"/>
        </w:rPr>
        <w:t xml:space="preserve">Radiat. Prot. Dosim. </w:t>
      </w:r>
      <w:r w:rsidR="003535CF">
        <w:rPr>
          <w:b/>
          <w:bCs/>
          <w:color w:val="000000"/>
          <w:sz w:val="16"/>
          <w:szCs w:val="16"/>
        </w:rPr>
        <w:t>173</w:t>
      </w:r>
      <w:r w:rsidR="003535CF">
        <w:rPr>
          <w:color w:val="000000"/>
          <w:sz w:val="16"/>
          <w:szCs w:val="16"/>
        </w:rPr>
        <w:t xml:space="preserve"> (2017) 198-202</w:t>
      </w:r>
      <w:r>
        <w:rPr>
          <w:color w:val="000000"/>
          <w:sz w:val="16"/>
          <w:szCs w:val="16"/>
        </w:rPr>
        <w:t xml:space="preserve"> </w:t>
      </w:r>
    </w:p>
    <w:p w14:paraId="1F28F924" w14:textId="3E1490B5" w:rsidR="00616E2B" w:rsidRDefault="00F92304" w:rsidP="00160B67">
      <w:pPr>
        <w:autoSpaceDE w:val="0"/>
        <w:autoSpaceDN w:val="0"/>
        <w:adjustRightInd w:val="0"/>
        <w:rPr>
          <w:color w:val="000000"/>
          <w:sz w:val="16"/>
          <w:szCs w:val="16"/>
        </w:rPr>
      </w:pPr>
      <w:r w:rsidRPr="00F92304">
        <w:rPr>
          <w:color w:val="000000"/>
          <w:sz w:val="16"/>
          <w:szCs w:val="16"/>
        </w:rPr>
        <w:t>.</w:t>
      </w:r>
    </w:p>
    <w:sectPr w:rsidR="00616E2B" w:rsidSect="00EF28F5">
      <w:pgSz w:w="11907" w:h="16840" w:code="9"/>
      <w:pgMar w:top="1418" w:right="1418" w:bottom="1418"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F4"/>
    <w:rsid w:val="000154C3"/>
    <w:rsid w:val="00020AF4"/>
    <w:rsid w:val="00021545"/>
    <w:rsid w:val="0002442D"/>
    <w:rsid w:val="00073907"/>
    <w:rsid w:val="00081941"/>
    <w:rsid w:val="000A1C1A"/>
    <w:rsid w:val="000A3F1F"/>
    <w:rsid w:val="000A7E8F"/>
    <w:rsid w:val="000C6ACD"/>
    <w:rsid w:val="000F516B"/>
    <w:rsid w:val="000F6572"/>
    <w:rsid w:val="00115D34"/>
    <w:rsid w:val="00115E33"/>
    <w:rsid w:val="00160B67"/>
    <w:rsid w:val="00171717"/>
    <w:rsid w:val="00193077"/>
    <w:rsid w:val="001944CC"/>
    <w:rsid w:val="001A0E1E"/>
    <w:rsid w:val="001A1F19"/>
    <w:rsid w:val="001C7522"/>
    <w:rsid w:val="00206516"/>
    <w:rsid w:val="00214CB1"/>
    <w:rsid w:val="00260E0F"/>
    <w:rsid w:val="00281AC7"/>
    <w:rsid w:val="00282A19"/>
    <w:rsid w:val="002A4557"/>
    <w:rsid w:val="002B59F9"/>
    <w:rsid w:val="002C7FE6"/>
    <w:rsid w:val="002E1C7D"/>
    <w:rsid w:val="002F0D3A"/>
    <w:rsid w:val="003128CE"/>
    <w:rsid w:val="003319B1"/>
    <w:rsid w:val="00345231"/>
    <w:rsid w:val="003535CF"/>
    <w:rsid w:val="00362A56"/>
    <w:rsid w:val="00365D1F"/>
    <w:rsid w:val="0039050A"/>
    <w:rsid w:val="003A1C56"/>
    <w:rsid w:val="003B434C"/>
    <w:rsid w:val="003B47AD"/>
    <w:rsid w:val="003C00DF"/>
    <w:rsid w:val="003C6C04"/>
    <w:rsid w:val="003E79A0"/>
    <w:rsid w:val="003F416C"/>
    <w:rsid w:val="003F716F"/>
    <w:rsid w:val="00425697"/>
    <w:rsid w:val="004517EF"/>
    <w:rsid w:val="00481962"/>
    <w:rsid w:val="0048400A"/>
    <w:rsid w:val="00495592"/>
    <w:rsid w:val="004A7599"/>
    <w:rsid w:val="004A7EA4"/>
    <w:rsid w:val="004C6B86"/>
    <w:rsid w:val="004E1212"/>
    <w:rsid w:val="004F122A"/>
    <w:rsid w:val="0050043E"/>
    <w:rsid w:val="005119A3"/>
    <w:rsid w:val="00526573"/>
    <w:rsid w:val="00531E90"/>
    <w:rsid w:val="00537409"/>
    <w:rsid w:val="0056097F"/>
    <w:rsid w:val="00570C5A"/>
    <w:rsid w:val="0058055C"/>
    <w:rsid w:val="00585008"/>
    <w:rsid w:val="00585811"/>
    <w:rsid w:val="00592806"/>
    <w:rsid w:val="00597512"/>
    <w:rsid w:val="005A234D"/>
    <w:rsid w:val="005A5E39"/>
    <w:rsid w:val="005C5643"/>
    <w:rsid w:val="005E2B22"/>
    <w:rsid w:val="0061068F"/>
    <w:rsid w:val="006148C6"/>
    <w:rsid w:val="00616E2B"/>
    <w:rsid w:val="00625C72"/>
    <w:rsid w:val="00637D5B"/>
    <w:rsid w:val="006411CF"/>
    <w:rsid w:val="0065340D"/>
    <w:rsid w:val="00654B33"/>
    <w:rsid w:val="006A47BF"/>
    <w:rsid w:val="006B5E93"/>
    <w:rsid w:val="006C7E07"/>
    <w:rsid w:val="006D1E65"/>
    <w:rsid w:val="006D78C9"/>
    <w:rsid w:val="006D7D5F"/>
    <w:rsid w:val="006E0DAE"/>
    <w:rsid w:val="006F0472"/>
    <w:rsid w:val="006F2173"/>
    <w:rsid w:val="006F547E"/>
    <w:rsid w:val="00732267"/>
    <w:rsid w:val="00762749"/>
    <w:rsid w:val="00763E69"/>
    <w:rsid w:val="007764A0"/>
    <w:rsid w:val="007B1120"/>
    <w:rsid w:val="007C3D78"/>
    <w:rsid w:val="007C65EF"/>
    <w:rsid w:val="007F3F6A"/>
    <w:rsid w:val="007F68C0"/>
    <w:rsid w:val="0080026A"/>
    <w:rsid w:val="008118A6"/>
    <w:rsid w:val="0081245B"/>
    <w:rsid w:val="00825008"/>
    <w:rsid w:val="008258C9"/>
    <w:rsid w:val="00827BB0"/>
    <w:rsid w:val="00832067"/>
    <w:rsid w:val="00837360"/>
    <w:rsid w:val="008470E6"/>
    <w:rsid w:val="00863CAE"/>
    <w:rsid w:val="00893BCB"/>
    <w:rsid w:val="0089784D"/>
    <w:rsid w:val="008D2E1C"/>
    <w:rsid w:val="008E404F"/>
    <w:rsid w:val="008F6270"/>
    <w:rsid w:val="00914CA2"/>
    <w:rsid w:val="00915C5F"/>
    <w:rsid w:val="0091651E"/>
    <w:rsid w:val="009204FD"/>
    <w:rsid w:val="00931302"/>
    <w:rsid w:val="00935048"/>
    <w:rsid w:val="0094326F"/>
    <w:rsid w:val="00944E21"/>
    <w:rsid w:val="009B425A"/>
    <w:rsid w:val="009C4616"/>
    <w:rsid w:val="009D1122"/>
    <w:rsid w:val="00A011D6"/>
    <w:rsid w:val="00A106DF"/>
    <w:rsid w:val="00A17BE6"/>
    <w:rsid w:val="00A26209"/>
    <w:rsid w:val="00A268A7"/>
    <w:rsid w:val="00A34827"/>
    <w:rsid w:val="00A35F66"/>
    <w:rsid w:val="00A5510B"/>
    <w:rsid w:val="00A86202"/>
    <w:rsid w:val="00A9295F"/>
    <w:rsid w:val="00A974FA"/>
    <w:rsid w:val="00A976C6"/>
    <w:rsid w:val="00AA1926"/>
    <w:rsid w:val="00AA6303"/>
    <w:rsid w:val="00AB20B1"/>
    <w:rsid w:val="00AC4E85"/>
    <w:rsid w:val="00AD3320"/>
    <w:rsid w:val="00AE349D"/>
    <w:rsid w:val="00AF0720"/>
    <w:rsid w:val="00B06CF8"/>
    <w:rsid w:val="00B3039C"/>
    <w:rsid w:val="00B33DD1"/>
    <w:rsid w:val="00B475B8"/>
    <w:rsid w:val="00B509B7"/>
    <w:rsid w:val="00B5553C"/>
    <w:rsid w:val="00B66819"/>
    <w:rsid w:val="00B66A4E"/>
    <w:rsid w:val="00B701D3"/>
    <w:rsid w:val="00B810B7"/>
    <w:rsid w:val="00B86D08"/>
    <w:rsid w:val="00B92966"/>
    <w:rsid w:val="00B96BE7"/>
    <w:rsid w:val="00BC2C36"/>
    <w:rsid w:val="00BE279C"/>
    <w:rsid w:val="00BE6574"/>
    <w:rsid w:val="00BF566E"/>
    <w:rsid w:val="00C01D29"/>
    <w:rsid w:val="00C17A65"/>
    <w:rsid w:val="00C439CC"/>
    <w:rsid w:val="00C5464A"/>
    <w:rsid w:val="00C55098"/>
    <w:rsid w:val="00C57FA4"/>
    <w:rsid w:val="00C67686"/>
    <w:rsid w:val="00C761F4"/>
    <w:rsid w:val="00CA69B2"/>
    <w:rsid w:val="00CF7A91"/>
    <w:rsid w:val="00D076DA"/>
    <w:rsid w:val="00D103DC"/>
    <w:rsid w:val="00D11C1B"/>
    <w:rsid w:val="00D142B8"/>
    <w:rsid w:val="00D3212A"/>
    <w:rsid w:val="00D5298A"/>
    <w:rsid w:val="00D627A6"/>
    <w:rsid w:val="00D946F6"/>
    <w:rsid w:val="00DA1B2E"/>
    <w:rsid w:val="00DB210F"/>
    <w:rsid w:val="00DB2900"/>
    <w:rsid w:val="00DB290A"/>
    <w:rsid w:val="00DE5C1B"/>
    <w:rsid w:val="00DF5632"/>
    <w:rsid w:val="00E17030"/>
    <w:rsid w:val="00E267CD"/>
    <w:rsid w:val="00E26AAD"/>
    <w:rsid w:val="00E370F4"/>
    <w:rsid w:val="00E75D62"/>
    <w:rsid w:val="00E82520"/>
    <w:rsid w:val="00E9391D"/>
    <w:rsid w:val="00EA530A"/>
    <w:rsid w:val="00EC2A21"/>
    <w:rsid w:val="00EF0F96"/>
    <w:rsid w:val="00EF28F5"/>
    <w:rsid w:val="00EF6523"/>
    <w:rsid w:val="00F01F33"/>
    <w:rsid w:val="00F025CA"/>
    <w:rsid w:val="00F13B7F"/>
    <w:rsid w:val="00F20A8D"/>
    <w:rsid w:val="00F27697"/>
    <w:rsid w:val="00F35C76"/>
    <w:rsid w:val="00F6600E"/>
    <w:rsid w:val="00F87CF5"/>
    <w:rsid w:val="00F92304"/>
    <w:rsid w:val="00F9475E"/>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75E51"/>
  <w15:docId w15:val="{AD4F9A9D-57BC-42E9-A71E-113F19C6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245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E267CD"/>
    <w:rPr>
      <w:b/>
      <w:bCs/>
      <w:vanish/>
      <w:color w:val="FF0000"/>
      <w:sz w:val="36"/>
      <w:szCs w:val="36"/>
    </w:rPr>
  </w:style>
  <w:style w:type="paragraph" w:customStyle="1" w:styleId="MTDisplayEquation">
    <w:name w:val="MTDisplayEquation"/>
    <w:basedOn w:val="Normal"/>
    <w:next w:val="Normal"/>
    <w:link w:val="MTDisplayEquationChar"/>
    <w:rsid w:val="00E267CD"/>
    <w:pPr>
      <w:tabs>
        <w:tab w:val="center" w:pos="4320"/>
        <w:tab w:val="right" w:pos="8640"/>
      </w:tabs>
      <w:autoSpaceDE w:val="0"/>
      <w:autoSpaceDN w:val="0"/>
      <w:adjustRightInd w:val="0"/>
    </w:pPr>
    <w:rPr>
      <w:color w:val="000000"/>
      <w:sz w:val="20"/>
      <w:szCs w:val="20"/>
    </w:rPr>
  </w:style>
  <w:style w:type="character" w:customStyle="1" w:styleId="MTDisplayEquationChar">
    <w:name w:val="MTDisplayEquation Char"/>
    <w:basedOn w:val="DefaultParagraphFont"/>
    <w:link w:val="MTDisplayEquation"/>
    <w:rsid w:val="00E267CD"/>
    <w:rPr>
      <w:color w:val="000000"/>
      <w:lang w:val="en-US" w:eastAsia="en-US"/>
    </w:rPr>
  </w:style>
  <w:style w:type="character" w:styleId="PlaceholderText">
    <w:name w:val="Placeholder Text"/>
    <w:basedOn w:val="DefaultParagraphFont"/>
    <w:uiPriority w:val="99"/>
    <w:semiHidden/>
    <w:rsid w:val="00A9295F"/>
    <w:rPr>
      <w:color w:val="808080"/>
    </w:rPr>
  </w:style>
  <w:style w:type="paragraph" w:styleId="BalloonText">
    <w:name w:val="Balloon Text"/>
    <w:basedOn w:val="Normal"/>
    <w:link w:val="BalloonTextChar"/>
    <w:rsid w:val="00A9295F"/>
    <w:rPr>
      <w:rFonts w:ascii="Tahoma" w:hAnsi="Tahoma" w:cs="Tahoma"/>
      <w:sz w:val="16"/>
      <w:szCs w:val="16"/>
    </w:rPr>
  </w:style>
  <w:style w:type="character" w:customStyle="1" w:styleId="BalloonTextChar">
    <w:name w:val="Balloon Text Char"/>
    <w:basedOn w:val="DefaultParagraphFont"/>
    <w:link w:val="BalloonText"/>
    <w:rsid w:val="00A9295F"/>
    <w:rPr>
      <w:rFonts w:ascii="Tahoma" w:hAnsi="Tahoma" w:cs="Tahoma"/>
      <w:sz w:val="16"/>
      <w:szCs w:val="16"/>
      <w:lang w:val="en-US" w:eastAsia="en-US"/>
    </w:rPr>
  </w:style>
  <w:style w:type="paragraph" w:styleId="Caption">
    <w:name w:val="caption"/>
    <w:basedOn w:val="Normal"/>
    <w:next w:val="Normal"/>
    <w:qFormat/>
    <w:rsid w:val="003F716F"/>
    <w:rPr>
      <w:b/>
      <w:bCs/>
      <w:sz w:val="20"/>
      <w:szCs w:val="20"/>
    </w:rPr>
  </w:style>
  <w:style w:type="character" w:styleId="Hyperlink">
    <w:name w:val="Hyperlink"/>
    <w:basedOn w:val="DefaultParagraphFont"/>
    <w:rsid w:val="00654B33"/>
    <w:rPr>
      <w:color w:val="0000FF"/>
      <w:u w:val="single"/>
    </w:rPr>
  </w:style>
  <w:style w:type="table" w:styleId="TableGrid">
    <w:name w:val="Table Grid"/>
    <w:basedOn w:val="TableNormal"/>
    <w:rsid w:val="00C01D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C7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rketing%20and%20Outreach\SAIP\Conferences\SAIP2010\Template\SAIP2010_defaul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SAIP2010_default.dot</Template>
  <TotalTime>22</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Selective Excitation of a Vibrational Level Within Hexafluoride Molecules with Ultra Short Lasers</vt:lpstr>
    </vt:vector>
  </TitlesOfParts>
  <Company>CSIR</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 Excitation of a Vibrational Level Within Hexafluoride Molecules with Ultra Short Lasers</dc:title>
  <dc:subject/>
  <dc:creator>rcbotha</dc:creator>
  <cp:keywords/>
  <cp:lastModifiedBy>Christoph Jan Trauernicht</cp:lastModifiedBy>
  <cp:revision>4</cp:revision>
  <cp:lastPrinted>2010-06-23T09:35:00Z</cp:lastPrinted>
  <dcterms:created xsi:type="dcterms:W3CDTF">2021-10-31T18:37:00Z</dcterms:created>
  <dcterms:modified xsi:type="dcterms:W3CDTF">2021-10-31T18:57:00Z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