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1AD9" w14:textId="5AB3076A" w:rsidR="007D0FEC" w:rsidRPr="007D0FEC" w:rsidRDefault="007D0FEC" w:rsidP="008C61E1">
      <w:pPr>
        <w:autoSpaceDE w:val="0"/>
        <w:autoSpaceDN w:val="0"/>
        <w:adjustRightInd w:val="0"/>
        <w:jc w:val="center"/>
        <w:rPr>
          <w:b/>
          <w:bCs/>
          <w:color w:val="000000"/>
          <w:sz w:val="28"/>
          <w:szCs w:val="28"/>
          <w:lang w:val="en-GB"/>
        </w:rPr>
      </w:pPr>
      <w:r w:rsidRPr="007D0FEC">
        <w:rPr>
          <w:b/>
          <w:bCs/>
          <w:color w:val="000000"/>
          <w:sz w:val="28"/>
          <w:szCs w:val="28"/>
          <w:lang w:val="en-GB"/>
        </w:rPr>
        <w:t>Al</w:t>
      </w:r>
      <w:r w:rsidRPr="007D0FEC">
        <w:rPr>
          <w:b/>
          <w:bCs/>
          <w:color w:val="000000"/>
          <w:sz w:val="28"/>
          <w:szCs w:val="28"/>
          <w:vertAlign w:val="subscript"/>
          <w:lang w:val="en-GB"/>
        </w:rPr>
        <w:t>2</w:t>
      </w:r>
      <w:r w:rsidRPr="007D0FEC">
        <w:rPr>
          <w:b/>
          <w:bCs/>
          <w:color w:val="000000"/>
          <w:sz w:val="28"/>
          <w:szCs w:val="28"/>
          <w:lang w:val="en-GB"/>
        </w:rPr>
        <w:t>O</w:t>
      </w:r>
      <w:r w:rsidRPr="007D0FEC">
        <w:rPr>
          <w:b/>
          <w:bCs/>
          <w:color w:val="000000"/>
          <w:sz w:val="28"/>
          <w:szCs w:val="28"/>
          <w:vertAlign w:val="subscript"/>
          <w:lang w:val="en-GB"/>
        </w:rPr>
        <w:t>3</w:t>
      </w:r>
      <w:r w:rsidR="008C61E1">
        <w:rPr>
          <w:b/>
          <w:bCs/>
          <w:color w:val="000000"/>
          <w:sz w:val="28"/>
          <w:szCs w:val="28"/>
          <w:lang w:val="en-GB"/>
        </w:rPr>
        <w:t xml:space="preserve">-supported </w:t>
      </w:r>
      <w:r w:rsidR="008C61E1" w:rsidRPr="007D0FEC">
        <w:rPr>
          <w:b/>
          <w:bCs/>
          <w:color w:val="000000"/>
          <w:sz w:val="28"/>
          <w:szCs w:val="28"/>
          <w:lang w:val="en-GB"/>
        </w:rPr>
        <w:t>Co</w:t>
      </w:r>
      <w:r w:rsidR="008C61E1" w:rsidRPr="007D0FEC">
        <w:rPr>
          <w:b/>
          <w:bCs/>
          <w:color w:val="000000"/>
          <w:sz w:val="28"/>
          <w:szCs w:val="28"/>
          <w:vertAlign w:val="subscript"/>
          <w:lang w:val="en-GB"/>
        </w:rPr>
        <w:t>3</w:t>
      </w:r>
      <w:r w:rsidR="008C61E1" w:rsidRPr="007D0FEC">
        <w:rPr>
          <w:b/>
          <w:bCs/>
          <w:color w:val="000000"/>
          <w:sz w:val="28"/>
          <w:szCs w:val="28"/>
          <w:lang w:val="en-GB"/>
        </w:rPr>
        <w:t>O</w:t>
      </w:r>
      <w:r w:rsidR="008C61E1" w:rsidRPr="007D0FEC">
        <w:rPr>
          <w:b/>
          <w:bCs/>
          <w:color w:val="000000"/>
          <w:sz w:val="28"/>
          <w:szCs w:val="28"/>
          <w:vertAlign w:val="subscript"/>
          <w:lang w:val="en-GB"/>
        </w:rPr>
        <w:t>4</w:t>
      </w:r>
      <w:r w:rsidR="008C61E1">
        <w:rPr>
          <w:b/>
          <w:bCs/>
          <w:color w:val="000000"/>
          <w:sz w:val="28"/>
          <w:szCs w:val="28"/>
          <w:lang w:val="en-GB"/>
        </w:rPr>
        <w:t xml:space="preserve"> nano-c</w:t>
      </w:r>
      <w:r w:rsidR="00B555B7" w:rsidRPr="008C61E1">
        <w:rPr>
          <w:b/>
          <w:bCs/>
          <w:color w:val="000000"/>
          <w:sz w:val="28"/>
          <w:szCs w:val="28"/>
          <w:lang w:val="en-GB"/>
        </w:rPr>
        <w:t>atalysts</w:t>
      </w:r>
      <w:r w:rsidR="00B555B7" w:rsidRPr="007D0FEC">
        <w:rPr>
          <w:b/>
          <w:bCs/>
          <w:color w:val="000000"/>
          <w:sz w:val="28"/>
          <w:szCs w:val="28"/>
          <w:lang w:val="en-GB"/>
        </w:rPr>
        <w:t xml:space="preserve"> for the preferential oxidation of carbon monoxide</w:t>
      </w:r>
      <w:r w:rsidR="00B555B7">
        <w:rPr>
          <w:b/>
          <w:bCs/>
          <w:color w:val="000000"/>
          <w:sz w:val="28"/>
          <w:szCs w:val="28"/>
          <w:lang w:val="en-GB"/>
        </w:rPr>
        <w:t>:</w:t>
      </w:r>
      <w:r w:rsidR="008C61E1">
        <w:rPr>
          <w:b/>
          <w:bCs/>
          <w:color w:val="000000"/>
          <w:sz w:val="28"/>
          <w:szCs w:val="28"/>
          <w:lang w:val="en-GB"/>
        </w:rPr>
        <w:t xml:space="preserve"> </w:t>
      </w:r>
      <w:r w:rsidR="00B555B7">
        <w:rPr>
          <w:b/>
          <w:bCs/>
          <w:color w:val="000000"/>
          <w:sz w:val="28"/>
          <w:szCs w:val="28"/>
          <w:lang w:val="en-GB"/>
        </w:rPr>
        <w:t xml:space="preserve">A synchrotron-based </w:t>
      </w:r>
      <w:r w:rsidR="00B555B7" w:rsidRPr="00B555B7">
        <w:rPr>
          <w:b/>
          <w:bCs/>
          <w:i/>
          <w:iCs/>
          <w:color w:val="000000"/>
          <w:sz w:val="28"/>
          <w:szCs w:val="28"/>
          <w:lang w:val="en-GB"/>
        </w:rPr>
        <w:t>in situ</w:t>
      </w:r>
      <w:r w:rsidR="00B555B7">
        <w:rPr>
          <w:b/>
          <w:bCs/>
          <w:color w:val="000000"/>
          <w:sz w:val="28"/>
          <w:szCs w:val="28"/>
          <w:lang w:val="en-GB"/>
        </w:rPr>
        <w:t xml:space="preserve"> </w:t>
      </w:r>
      <w:r w:rsidR="00751003">
        <w:rPr>
          <w:b/>
          <w:bCs/>
          <w:color w:val="000000"/>
          <w:sz w:val="28"/>
          <w:szCs w:val="28"/>
          <w:lang w:val="en-GB"/>
        </w:rPr>
        <w:t xml:space="preserve">XAS </w:t>
      </w:r>
      <w:r w:rsidR="00B555B7">
        <w:rPr>
          <w:b/>
          <w:bCs/>
          <w:color w:val="000000"/>
          <w:sz w:val="28"/>
          <w:szCs w:val="28"/>
          <w:lang w:val="en-GB"/>
        </w:rPr>
        <w:t>s</w:t>
      </w:r>
      <w:r w:rsidR="00B555B7" w:rsidRPr="007D0FEC">
        <w:rPr>
          <w:b/>
          <w:bCs/>
          <w:color w:val="000000"/>
          <w:sz w:val="28"/>
          <w:szCs w:val="28"/>
          <w:lang w:val="en-GB"/>
        </w:rPr>
        <w:t>tudy</w:t>
      </w:r>
    </w:p>
    <w:p w14:paraId="06408DD9" w14:textId="77777777" w:rsidR="00EF28F5" w:rsidRPr="00654B33" w:rsidRDefault="00EF28F5" w:rsidP="00EF28F5">
      <w:pPr>
        <w:autoSpaceDE w:val="0"/>
        <w:autoSpaceDN w:val="0"/>
        <w:adjustRightInd w:val="0"/>
        <w:jc w:val="center"/>
        <w:rPr>
          <w:b/>
          <w:bCs/>
          <w:color w:val="000000"/>
          <w:sz w:val="20"/>
          <w:szCs w:val="20"/>
        </w:rPr>
      </w:pPr>
    </w:p>
    <w:p w14:paraId="0C76E7BC" w14:textId="77777777" w:rsidR="0085081F" w:rsidRDefault="0043390C" w:rsidP="00F20A8D">
      <w:pPr>
        <w:autoSpaceDE w:val="0"/>
        <w:autoSpaceDN w:val="0"/>
        <w:adjustRightInd w:val="0"/>
        <w:jc w:val="center"/>
        <w:rPr>
          <w:b/>
          <w:bCs/>
          <w:color w:val="000000"/>
          <w:sz w:val="20"/>
          <w:szCs w:val="20"/>
        </w:rPr>
      </w:pPr>
      <w:r>
        <w:rPr>
          <w:b/>
          <w:bCs/>
          <w:color w:val="000000"/>
          <w:sz w:val="20"/>
          <w:szCs w:val="20"/>
          <w:u w:val="single"/>
        </w:rPr>
        <w:t xml:space="preserve">Thulani </w:t>
      </w:r>
      <w:r w:rsidR="00E35C64">
        <w:rPr>
          <w:b/>
          <w:bCs/>
          <w:color w:val="000000"/>
          <w:sz w:val="20"/>
          <w:szCs w:val="20"/>
          <w:u w:val="single"/>
        </w:rPr>
        <w:t xml:space="preserve">M. </w:t>
      </w:r>
      <w:r>
        <w:rPr>
          <w:b/>
          <w:bCs/>
          <w:color w:val="000000"/>
          <w:sz w:val="20"/>
          <w:szCs w:val="20"/>
          <w:u w:val="single"/>
        </w:rPr>
        <w:t>Nyathi</w:t>
      </w:r>
      <w:r w:rsidR="009D1122" w:rsidRPr="00654B33">
        <w:rPr>
          <w:bCs/>
          <w:color w:val="000000"/>
          <w:sz w:val="20"/>
          <w:szCs w:val="20"/>
          <w:vertAlign w:val="superscript"/>
        </w:rPr>
        <w:t>1</w:t>
      </w:r>
      <w:r w:rsidR="008357AD">
        <w:rPr>
          <w:bCs/>
          <w:color w:val="000000"/>
          <w:sz w:val="20"/>
          <w:szCs w:val="20"/>
          <w:vertAlign w:val="superscript"/>
        </w:rPr>
        <w:t>,</w:t>
      </w:r>
      <w:r w:rsidR="008357AD" w:rsidRPr="008357AD">
        <w:rPr>
          <w:bCs/>
          <w:color w:val="000000"/>
          <w:sz w:val="20"/>
          <w:szCs w:val="20"/>
        </w:rPr>
        <w:t>*</w:t>
      </w:r>
      <w:r w:rsidR="00A976C6" w:rsidRPr="00654B33">
        <w:rPr>
          <w:b/>
          <w:bCs/>
          <w:color w:val="000000"/>
          <w:sz w:val="20"/>
          <w:szCs w:val="20"/>
        </w:rPr>
        <w:t xml:space="preserve">, </w:t>
      </w:r>
      <w:r>
        <w:rPr>
          <w:b/>
          <w:bCs/>
          <w:color w:val="000000"/>
          <w:sz w:val="20"/>
          <w:szCs w:val="20"/>
        </w:rPr>
        <w:t>Nico Fischer</w:t>
      </w:r>
      <w:r>
        <w:rPr>
          <w:bCs/>
          <w:color w:val="000000"/>
          <w:sz w:val="20"/>
          <w:szCs w:val="20"/>
          <w:vertAlign w:val="superscript"/>
        </w:rPr>
        <w:t>1</w:t>
      </w:r>
      <w:r>
        <w:rPr>
          <w:b/>
          <w:bCs/>
          <w:color w:val="000000"/>
          <w:sz w:val="20"/>
          <w:szCs w:val="20"/>
        </w:rPr>
        <w:t xml:space="preserve">, </w:t>
      </w:r>
      <w:r w:rsidR="007D0FEC">
        <w:rPr>
          <w:b/>
          <w:bCs/>
          <w:color w:val="000000"/>
          <w:sz w:val="20"/>
          <w:szCs w:val="20"/>
        </w:rPr>
        <w:t xml:space="preserve">Andrew </w:t>
      </w:r>
      <w:r w:rsidR="00E35C64">
        <w:rPr>
          <w:b/>
          <w:bCs/>
          <w:color w:val="000000"/>
          <w:sz w:val="20"/>
          <w:szCs w:val="20"/>
        </w:rPr>
        <w:t xml:space="preserve">P. E. </w:t>
      </w:r>
      <w:r w:rsidR="007D0FEC">
        <w:rPr>
          <w:b/>
          <w:bCs/>
          <w:color w:val="000000"/>
          <w:sz w:val="20"/>
          <w:szCs w:val="20"/>
        </w:rPr>
        <w:t>York</w:t>
      </w:r>
      <w:r w:rsidR="007D0FEC" w:rsidRPr="007D0FEC">
        <w:rPr>
          <w:color w:val="000000"/>
          <w:sz w:val="20"/>
          <w:szCs w:val="20"/>
          <w:vertAlign w:val="superscript"/>
        </w:rPr>
        <w:t>2</w:t>
      </w:r>
      <w:r w:rsidR="007D0FEC">
        <w:rPr>
          <w:b/>
          <w:bCs/>
          <w:color w:val="000000"/>
          <w:sz w:val="20"/>
          <w:szCs w:val="20"/>
        </w:rPr>
        <w:t xml:space="preserve">, </w:t>
      </w:r>
      <w:r>
        <w:rPr>
          <w:b/>
          <w:bCs/>
          <w:color w:val="000000"/>
          <w:sz w:val="20"/>
          <w:szCs w:val="20"/>
        </w:rPr>
        <w:t xml:space="preserve">Emma </w:t>
      </w:r>
      <w:r w:rsidR="00E35C64">
        <w:rPr>
          <w:b/>
          <w:bCs/>
          <w:color w:val="000000"/>
          <w:sz w:val="20"/>
          <w:szCs w:val="20"/>
        </w:rPr>
        <w:t xml:space="preserve">K. </w:t>
      </w:r>
      <w:r>
        <w:rPr>
          <w:b/>
          <w:bCs/>
          <w:color w:val="000000"/>
          <w:sz w:val="20"/>
          <w:szCs w:val="20"/>
        </w:rPr>
        <w:t>Gibson</w:t>
      </w:r>
      <w:r w:rsidR="00D85207">
        <w:rPr>
          <w:color w:val="000000"/>
          <w:sz w:val="20"/>
          <w:szCs w:val="20"/>
          <w:vertAlign w:val="superscript"/>
        </w:rPr>
        <w:t>3</w:t>
      </w:r>
      <w:r>
        <w:rPr>
          <w:b/>
          <w:bCs/>
          <w:color w:val="000000"/>
          <w:sz w:val="20"/>
          <w:szCs w:val="20"/>
        </w:rPr>
        <w:t xml:space="preserve">, Peter </w:t>
      </w:r>
      <w:r w:rsidR="00E35C64">
        <w:rPr>
          <w:b/>
          <w:bCs/>
          <w:color w:val="000000"/>
          <w:sz w:val="20"/>
          <w:szCs w:val="20"/>
        </w:rPr>
        <w:t xml:space="preserve">P. </w:t>
      </w:r>
      <w:r>
        <w:rPr>
          <w:b/>
          <w:bCs/>
          <w:color w:val="000000"/>
          <w:sz w:val="20"/>
          <w:szCs w:val="20"/>
        </w:rPr>
        <w:t>Wells</w:t>
      </w:r>
      <w:r w:rsidR="00D85207">
        <w:rPr>
          <w:color w:val="000000"/>
          <w:sz w:val="20"/>
          <w:szCs w:val="20"/>
          <w:vertAlign w:val="superscript"/>
        </w:rPr>
        <w:t>4</w:t>
      </w:r>
      <w:r>
        <w:rPr>
          <w:b/>
          <w:bCs/>
          <w:color w:val="000000"/>
          <w:sz w:val="20"/>
          <w:szCs w:val="20"/>
        </w:rPr>
        <w:t>,</w:t>
      </w:r>
    </w:p>
    <w:p w14:paraId="758E7D12" w14:textId="70BFE311" w:rsidR="00AE349D" w:rsidRPr="00654B33" w:rsidRDefault="0043390C" w:rsidP="00F20A8D">
      <w:pPr>
        <w:autoSpaceDE w:val="0"/>
        <w:autoSpaceDN w:val="0"/>
        <w:adjustRightInd w:val="0"/>
        <w:jc w:val="center"/>
        <w:rPr>
          <w:b/>
          <w:bCs/>
          <w:color w:val="000000"/>
          <w:sz w:val="20"/>
          <w:szCs w:val="20"/>
          <w:vertAlign w:val="superscript"/>
        </w:rPr>
      </w:pPr>
      <w:r>
        <w:rPr>
          <w:b/>
          <w:bCs/>
          <w:color w:val="000000"/>
          <w:sz w:val="20"/>
          <w:szCs w:val="20"/>
        </w:rPr>
        <w:t xml:space="preserve">Sir </w:t>
      </w:r>
      <w:r w:rsidR="00E35C64">
        <w:rPr>
          <w:b/>
          <w:bCs/>
          <w:color w:val="000000"/>
          <w:sz w:val="20"/>
          <w:szCs w:val="20"/>
        </w:rPr>
        <w:t xml:space="preserve">C. </w:t>
      </w:r>
      <w:r>
        <w:rPr>
          <w:b/>
          <w:bCs/>
          <w:color w:val="000000"/>
          <w:sz w:val="20"/>
          <w:szCs w:val="20"/>
        </w:rPr>
        <w:t xml:space="preserve">Richard </w:t>
      </w:r>
      <w:r w:rsidR="00E35C64">
        <w:rPr>
          <w:b/>
          <w:bCs/>
          <w:color w:val="000000"/>
          <w:sz w:val="20"/>
          <w:szCs w:val="20"/>
        </w:rPr>
        <w:t xml:space="preserve">A. </w:t>
      </w:r>
      <w:r>
        <w:rPr>
          <w:b/>
          <w:bCs/>
          <w:color w:val="000000"/>
          <w:sz w:val="20"/>
          <w:szCs w:val="20"/>
        </w:rPr>
        <w:t>Catlow</w:t>
      </w:r>
      <w:r w:rsidR="00D85207">
        <w:rPr>
          <w:color w:val="000000"/>
          <w:sz w:val="20"/>
          <w:szCs w:val="20"/>
          <w:vertAlign w:val="superscript"/>
        </w:rPr>
        <w:t>5</w:t>
      </w:r>
      <w:r>
        <w:rPr>
          <w:color w:val="000000"/>
          <w:sz w:val="20"/>
          <w:szCs w:val="20"/>
          <w:vertAlign w:val="superscript"/>
        </w:rPr>
        <w:t>,</w:t>
      </w:r>
      <w:r w:rsidR="00D85207">
        <w:rPr>
          <w:color w:val="000000"/>
          <w:sz w:val="20"/>
          <w:szCs w:val="20"/>
          <w:vertAlign w:val="superscript"/>
        </w:rPr>
        <w:t>6</w:t>
      </w:r>
      <w:r>
        <w:rPr>
          <w:b/>
          <w:bCs/>
          <w:color w:val="000000"/>
          <w:sz w:val="20"/>
          <w:szCs w:val="20"/>
        </w:rPr>
        <w:t>, Michael Claeys</w:t>
      </w:r>
      <w:r w:rsidRPr="0043390C">
        <w:rPr>
          <w:color w:val="000000"/>
          <w:sz w:val="20"/>
          <w:szCs w:val="20"/>
          <w:vertAlign w:val="superscript"/>
        </w:rPr>
        <w:t>1</w:t>
      </w:r>
      <w:r w:rsidR="008357AD">
        <w:rPr>
          <w:color w:val="000000"/>
          <w:sz w:val="20"/>
          <w:szCs w:val="20"/>
          <w:vertAlign w:val="superscript"/>
        </w:rPr>
        <w:t>,</w:t>
      </w:r>
      <w:r w:rsidR="008357AD" w:rsidRPr="008357AD">
        <w:rPr>
          <w:color w:val="000000"/>
          <w:sz w:val="20"/>
          <w:szCs w:val="20"/>
        </w:rPr>
        <w:t>*</w:t>
      </w:r>
    </w:p>
    <w:p w14:paraId="76610110" w14:textId="77777777" w:rsidR="00A974FA" w:rsidRDefault="00A974FA" w:rsidP="00160B67">
      <w:pPr>
        <w:autoSpaceDE w:val="0"/>
        <w:autoSpaceDN w:val="0"/>
        <w:adjustRightInd w:val="0"/>
        <w:jc w:val="center"/>
        <w:rPr>
          <w:b/>
          <w:bCs/>
          <w:color w:val="000000"/>
          <w:sz w:val="16"/>
          <w:szCs w:val="16"/>
        </w:rPr>
      </w:pPr>
    </w:p>
    <w:p w14:paraId="0272C7D0" w14:textId="4F283AD5" w:rsidR="00160B67" w:rsidRPr="00654B33" w:rsidRDefault="009D1122" w:rsidP="00846544">
      <w:pPr>
        <w:autoSpaceDE w:val="0"/>
        <w:autoSpaceDN w:val="0"/>
        <w:adjustRightInd w:val="0"/>
        <w:jc w:val="center"/>
        <w:rPr>
          <w:i/>
          <w:iCs/>
          <w:color w:val="000000"/>
          <w:sz w:val="16"/>
          <w:szCs w:val="16"/>
        </w:rPr>
      </w:pPr>
      <w:r w:rsidRPr="00654B33">
        <w:rPr>
          <w:bCs/>
          <w:i/>
          <w:color w:val="000000"/>
          <w:sz w:val="16"/>
          <w:szCs w:val="16"/>
          <w:vertAlign w:val="superscript"/>
        </w:rPr>
        <w:t>1</w:t>
      </w:r>
      <w:r w:rsidR="00E9391D" w:rsidRPr="00654B33">
        <w:rPr>
          <w:i/>
          <w:iCs/>
          <w:color w:val="000000"/>
          <w:sz w:val="16"/>
          <w:szCs w:val="16"/>
        </w:rPr>
        <w:t xml:space="preserve"> </w:t>
      </w:r>
      <w:r w:rsidR="0043390C" w:rsidRPr="0043390C">
        <w:rPr>
          <w:i/>
          <w:iCs/>
          <w:color w:val="000000"/>
          <w:sz w:val="16"/>
          <w:szCs w:val="16"/>
          <w:lang w:val="en-GB"/>
        </w:rPr>
        <w:t>Catalysis Institute and c*change (DS</w:t>
      </w:r>
      <w:r w:rsidR="007D0FEC">
        <w:rPr>
          <w:i/>
          <w:iCs/>
          <w:color w:val="000000"/>
          <w:sz w:val="16"/>
          <w:szCs w:val="16"/>
          <w:lang w:val="en-GB"/>
        </w:rPr>
        <w:t>I</w:t>
      </w:r>
      <w:r w:rsidR="0043390C" w:rsidRPr="0043390C">
        <w:rPr>
          <w:i/>
          <w:iCs/>
          <w:color w:val="000000"/>
          <w:sz w:val="16"/>
          <w:szCs w:val="16"/>
          <w:lang w:val="en-GB"/>
        </w:rPr>
        <w:t>-NRF Centre of Excellence in Catalysis), Department of Chemical Engineering, University of Cape Town, Rondebosch 7701, South Africa</w:t>
      </w:r>
    </w:p>
    <w:p w14:paraId="315C1AD8" w14:textId="77777777" w:rsidR="007D0FEC" w:rsidRPr="007D0FEC" w:rsidRDefault="009D1122" w:rsidP="007D0FEC">
      <w:pPr>
        <w:autoSpaceDE w:val="0"/>
        <w:autoSpaceDN w:val="0"/>
        <w:adjustRightInd w:val="0"/>
        <w:jc w:val="center"/>
        <w:rPr>
          <w:i/>
          <w:iCs/>
          <w:color w:val="000000"/>
          <w:sz w:val="16"/>
          <w:szCs w:val="16"/>
          <w:lang w:val="en-GB"/>
        </w:rPr>
      </w:pPr>
      <w:r w:rsidRPr="00654B33">
        <w:rPr>
          <w:i/>
          <w:iCs/>
          <w:color w:val="000000"/>
          <w:sz w:val="16"/>
          <w:szCs w:val="16"/>
          <w:vertAlign w:val="superscript"/>
        </w:rPr>
        <w:t>2</w:t>
      </w:r>
      <w:r w:rsidR="0043390C" w:rsidRPr="0043390C">
        <w:rPr>
          <w:i/>
          <w:iCs/>
          <w:color w:val="000000"/>
          <w:sz w:val="16"/>
          <w:szCs w:val="16"/>
        </w:rPr>
        <w:t xml:space="preserve"> </w:t>
      </w:r>
      <w:r w:rsidR="007D0FEC" w:rsidRPr="007D0FEC">
        <w:rPr>
          <w:i/>
          <w:iCs/>
          <w:color w:val="000000"/>
          <w:sz w:val="16"/>
          <w:szCs w:val="16"/>
          <w:lang w:val="en-GB"/>
        </w:rPr>
        <w:t>Johnson Matthey Technology Centre, Sonning Common, Reading RG4 9NH, United Kingdom</w:t>
      </w:r>
    </w:p>
    <w:p w14:paraId="2E64FB6D" w14:textId="302DA567" w:rsidR="0043390C" w:rsidRPr="00654B33" w:rsidRDefault="00EA20C4" w:rsidP="0043390C">
      <w:pPr>
        <w:autoSpaceDE w:val="0"/>
        <w:autoSpaceDN w:val="0"/>
        <w:adjustRightInd w:val="0"/>
        <w:jc w:val="center"/>
        <w:rPr>
          <w:i/>
          <w:iCs/>
          <w:color w:val="000000"/>
          <w:sz w:val="16"/>
          <w:szCs w:val="16"/>
        </w:rPr>
      </w:pPr>
      <w:r>
        <w:rPr>
          <w:i/>
          <w:iCs/>
          <w:color w:val="000000"/>
          <w:sz w:val="16"/>
          <w:szCs w:val="16"/>
          <w:vertAlign w:val="superscript"/>
        </w:rPr>
        <w:t>3</w:t>
      </w:r>
      <w:r w:rsidR="0043390C" w:rsidRPr="0043390C">
        <w:rPr>
          <w:i/>
          <w:iCs/>
          <w:color w:val="000000"/>
          <w:sz w:val="16"/>
          <w:szCs w:val="16"/>
        </w:rPr>
        <w:t xml:space="preserve"> </w:t>
      </w:r>
      <w:r w:rsidR="007D0FEC" w:rsidRPr="007D0FEC">
        <w:rPr>
          <w:i/>
          <w:iCs/>
          <w:color w:val="000000"/>
          <w:sz w:val="16"/>
          <w:szCs w:val="16"/>
          <w:lang w:val="en-GB"/>
        </w:rPr>
        <w:t>School of Chemistry, Joseph Black Building, University of Glasgow, Glasgow G12 8QQ, United Kingdom</w:t>
      </w:r>
    </w:p>
    <w:p w14:paraId="730E4BC7" w14:textId="46FABD3F" w:rsidR="0043390C" w:rsidRPr="00654B33" w:rsidRDefault="00EA20C4" w:rsidP="0043390C">
      <w:pPr>
        <w:autoSpaceDE w:val="0"/>
        <w:autoSpaceDN w:val="0"/>
        <w:adjustRightInd w:val="0"/>
        <w:jc w:val="center"/>
        <w:rPr>
          <w:i/>
          <w:iCs/>
          <w:color w:val="000000"/>
          <w:sz w:val="16"/>
          <w:szCs w:val="16"/>
        </w:rPr>
      </w:pPr>
      <w:r>
        <w:rPr>
          <w:i/>
          <w:iCs/>
          <w:color w:val="000000"/>
          <w:sz w:val="16"/>
          <w:szCs w:val="16"/>
          <w:vertAlign w:val="superscript"/>
        </w:rPr>
        <w:t>4</w:t>
      </w:r>
      <w:r w:rsidR="0043390C" w:rsidRPr="0043390C">
        <w:rPr>
          <w:i/>
          <w:iCs/>
          <w:color w:val="000000"/>
          <w:sz w:val="16"/>
          <w:szCs w:val="16"/>
        </w:rPr>
        <w:t xml:space="preserve"> </w:t>
      </w:r>
      <w:r w:rsidR="007D0FEC" w:rsidRPr="007D0FEC">
        <w:rPr>
          <w:i/>
          <w:iCs/>
          <w:color w:val="000000"/>
          <w:sz w:val="16"/>
          <w:szCs w:val="16"/>
        </w:rPr>
        <w:t>School of Chemistry, University of Southampton, University Road, Southampton SO17 1BJ, United Kingdom</w:t>
      </w:r>
    </w:p>
    <w:p w14:paraId="4BFB3B46" w14:textId="1C3A9D08" w:rsidR="007D0FEC" w:rsidRDefault="00EA20C4" w:rsidP="007D0FEC">
      <w:pPr>
        <w:autoSpaceDE w:val="0"/>
        <w:autoSpaceDN w:val="0"/>
        <w:adjustRightInd w:val="0"/>
        <w:jc w:val="center"/>
        <w:rPr>
          <w:i/>
          <w:iCs/>
          <w:color w:val="000000"/>
          <w:sz w:val="16"/>
          <w:szCs w:val="16"/>
        </w:rPr>
      </w:pPr>
      <w:r>
        <w:rPr>
          <w:i/>
          <w:iCs/>
          <w:color w:val="000000"/>
          <w:sz w:val="16"/>
          <w:szCs w:val="16"/>
          <w:vertAlign w:val="superscript"/>
        </w:rPr>
        <w:t>5</w:t>
      </w:r>
      <w:r w:rsidR="007D0FEC" w:rsidRPr="0043390C">
        <w:rPr>
          <w:i/>
          <w:iCs/>
          <w:color w:val="000000"/>
          <w:sz w:val="16"/>
          <w:szCs w:val="16"/>
        </w:rPr>
        <w:t xml:space="preserve"> </w:t>
      </w:r>
      <w:r w:rsidR="007D0FEC" w:rsidRPr="007D0FEC">
        <w:rPr>
          <w:i/>
          <w:iCs/>
          <w:color w:val="000000"/>
          <w:sz w:val="16"/>
          <w:szCs w:val="16"/>
        </w:rPr>
        <w:t>Department of Chemistry, University College London, 20 Gordon St., London, WC1H 0AJ, United Kingdom</w:t>
      </w:r>
    </w:p>
    <w:p w14:paraId="249BC2FC" w14:textId="511BC9A3" w:rsidR="00D85207" w:rsidRPr="007D0FEC" w:rsidRDefault="00EA20C4" w:rsidP="00D85207">
      <w:pPr>
        <w:autoSpaceDE w:val="0"/>
        <w:autoSpaceDN w:val="0"/>
        <w:adjustRightInd w:val="0"/>
        <w:jc w:val="center"/>
        <w:rPr>
          <w:i/>
          <w:iCs/>
          <w:color w:val="000000"/>
          <w:sz w:val="16"/>
          <w:szCs w:val="16"/>
          <w:lang w:val="en-GB"/>
        </w:rPr>
      </w:pPr>
      <w:r>
        <w:rPr>
          <w:i/>
          <w:iCs/>
          <w:color w:val="000000"/>
          <w:sz w:val="16"/>
          <w:szCs w:val="16"/>
          <w:vertAlign w:val="superscript"/>
        </w:rPr>
        <w:t>6</w:t>
      </w:r>
      <w:r w:rsidR="00D85207" w:rsidRPr="0043390C">
        <w:rPr>
          <w:i/>
          <w:iCs/>
          <w:color w:val="000000"/>
          <w:sz w:val="16"/>
          <w:szCs w:val="16"/>
        </w:rPr>
        <w:t xml:space="preserve"> </w:t>
      </w:r>
      <w:r w:rsidRPr="00EA20C4">
        <w:rPr>
          <w:i/>
          <w:iCs/>
          <w:color w:val="000000"/>
          <w:sz w:val="16"/>
          <w:szCs w:val="16"/>
          <w:lang w:val="en-GB"/>
        </w:rPr>
        <w:t>Cardiff Catalysis Institute, Cardiff University, Main Building, Park Place, Cardiff, CF10 3AT, United Kingdom</w:t>
      </w:r>
    </w:p>
    <w:p w14:paraId="2182F7E4" w14:textId="5B59F47C" w:rsidR="00160B67" w:rsidRPr="00654B33" w:rsidRDefault="008357AD" w:rsidP="00CF4E0E">
      <w:pPr>
        <w:autoSpaceDE w:val="0"/>
        <w:autoSpaceDN w:val="0"/>
        <w:adjustRightInd w:val="0"/>
        <w:jc w:val="center"/>
        <w:rPr>
          <w:i/>
          <w:iCs/>
          <w:color w:val="000000"/>
          <w:sz w:val="16"/>
          <w:szCs w:val="16"/>
        </w:rPr>
      </w:pPr>
      <w:r>
        <w:rPr>
          <w:i/>
          <w:iCs/>
          <w:color w:val="000000"/>
          <w:sz w:val="16"/>
          <w:szCs w:val="16"/>
        </w:rPr>
        <w:t xml:space="preserve">* </w:t>
      </w:r>
      <w:r w:rsidR="00A974FA">
        <w:rPr>
          <w:i/>
          <w:iCs/>
          <w:color w:val="000000"/>
          <w:sz w:val="16"/>
          <w:szCs w:val="16"/>
        </w:rPr>
        <w:t>Corresponding a</w:t>
      </w:r>
      <w:r w:rsidR="00160B67" w:rsidRPr="00654B33">
        <w:rPr>
          <w:i/>
          <w:iCs/>
          <w:color w:val="000000"/>
          <w:sz w:val="16"/>
          <w:szCs w:val="16"/>
        </w:rPr>
        <w:t>uthor</w:t>
      </w:r>
      <w:r w:rsidR="00E35C64">
        <w:rPr>
          <w:i/>
          <w:iCs/>
          <w:color w:val="000000"/>
          <w:sz w:val="16"/>
          <w:szCs w:val="16"/>
        </w:rPr>
        <w:t>s</w:t>
      </w:r>
      <w:r w:rsidR="00846544">
        <w:rPr>
          <w:i/>
          <w:iCs/>
          <w:color w:val="000000"/>
          <w:sz w:val="16"/>
          <w:szCs w:val="16"/>
        </w:rPr>
        <w:t>’</w:t>
      </w:r>
      <w:r w:rsidR="00160B67" w:rsidRPr="00654B33">
        <w:rPr>
          <w:i/>
          <w:iCs/>
          <w:color w:val="000000"/>
          <w:sz w:val="16"/>
          <w:szCs w:val="16"/>
        </w:rPr>
        <w:t xml:space="preserve"> e-mail address</w:t>
      </w:r>
      <w:r w:rsidR="00E35C64">
        <w:rPr>
          <w:i/>
          <w:iCs/>
          <w:color w:val="000000"/>
          <w:sz w:val="16"/>
          <w:szCs w:val="16"/>
        </w:rPr>
        <w:t>es</w:t>
      </w:r>
      <w:r w:rsidR="00160B67" w:rsidRPr="00654B33">
        <w:rPr>
          <w:i/>
          <w:iCs/>
          <w:color w:val="000000"/>
          <w:sz w:val="16"/>
          <w:szCs w:val="16"/>
        </w:rPr>
        <w:t xml:space="preserve">: </w:t>
      </w:r>
      <w:hyperlink r:id="rId5" w:history="1">
        <w:r w:rsidR="0043390C" w:rsidRPr="00A572BD">
          <w:rPr>
            <w:rStyle w:val="Hyperlink"/>
            <w:i/>
            <w:iCs/>
            <w:sz w:val="16"/>
            <w:szCs w:val="16"/>
          </w:rPr>
          <w:t>thulani.nyathi@uct.ac.za</w:t>
        </w:r>
      </w:hyperlink>
      <w:r w:rsidR="0043390C">
        <w:rPr>
          <w:i/>
          <w:iCs/>
          <w:color w:val="000000"/>
          <w:sz w:val="16"/>
          <w:szCs w:val="16"/>
        </w:rPr>
        <w:t xml:space="preserve"> and </w:t>
      </w:r>
      <w:hyperlink r:id="rId6" w:history="1">
        <w:r w:rsidR="0043390C" w:rsidRPr="00A572BD">
          <w:rPr>
            <w:rStyle w:val="Hyperlink"/>
            <w:i/>
            <w:iCs/>
            <w:sz w:val="16"/>
            <w:szCs w:val="16"/>
          </w:rPr>
          <w:t>michael.claeys@uct.ac.za</w:t>
        </w:r>
      </w:hyperlink>
    </w:p>
    <w:p w14:paraId="386CB88A" w14:textId="77777777" w:rsidR="0065340D" w:rsidRPr="00654B33" w:rsidRDefault="0065340D" w:rsidP="00160B67">
      <w:pPr>
        <w:autoSpaceDE w:val="0"/>
        <w:autoSpaceDN w:val="0"/>
        <w:adjustRightInd w:val="0"/>
        <w:jc w:val="center"/>
        <w:rPr>
          <w:i/>
          <w:iCs/>
          <w:color w:val="000000"/>
          <w:sz w:val="20"/>
          <w:szCs w:val="20"/>
        </w:rPr>
      </w:pPr>
    </w:p>
    <w:p w14:paraId="3DF0651B" w14:textId="73AAEF1E" w:rsidR="00160B67" w:rsidRPr="00654B33" w:rsidRDefault="00F20A8D" w:rsidP="00160B67">
      <w:pPr>
        <w:autoSpaceDE w:val="0"/>
        <w:autoSpaceDN w:val="0"/>
        <w:adjustRightInd w:val="0"/>
        <w:rPr>
          <w:b/>
          <w:bCs/>
          <w:color w:val="000000"/>
          <w:sz w:val="20"/>
          <w:szCs w:val="20"/>
        </w:rPr>
      </w:pPr>
      <w:r w:rsidRPr="00654B33">
        <w:rPr>
          <w:b/>
          <w:bCs/>
          <w:color w:val="000000"/>
          <w:sz w:val="20"/>
          <w:szCs w:val="20"/>
        </w:rPr>
        <w:t>1. Introduction</w:t>
      </w:r>
    </w:p>
    <w:p w14:paraId="4A638C3B" w14:textId="77777777" w:rsidR="0065340D" w:rsidRPr="00654B33" w:rsidRDefault="0065340D" w:rsidP="00160B67">
      <w:pPr>
        <w:autoSpaceDE w:val="0"/>
        <w:autoSpaceDN w:val="0"/>
        <w:adjustRightInd w:val="0"/>
        <w:rPr>
          <w:b/>
          <w:bCs/>
          <w:color w:val="000000"/>
          <w:sz w:val="20"/>
          <w:szCs w:val="20"/>
        </w:rPr>
      </w:pPr>
    </w:p>
    <w:p w14:paraId="43B4B0B4" w14:textId="69CD5AF6" w:rsidR="0085081F" w:rsidRDefault="0085081F" w:rsidP="0085081F">
      <w:pPr>
        <w:pStyle w:val="MTDisplayEquation"/>
        <w:jc w:val="both"/>
      </w:pPr>
      <w:r w:rsidRPr="0085081F">
        <w:rPr>
          <w:lang w:val="en-ZA"/>
        </w:rPr>
        <w:t>Cobalt(II, III) oxide (Co</w:t>
      </w:r>
      <w:r w:rsidRPr="0085081F">
        <w:rPr>
          <w:vertAlign w:val="subscript"/>
          <w:lang w:val="en-ZA"/>
        </w:rPr>
        <w:t>3</w:t>
      </w:r>
      <w:r w:rsidRPr="0085081F">
        <w:rPr>
          <w:lang w:val="en-ZA"/>
        </w:rPr>
        <w:t>O</w:t>
      </w:r>
      <w:r w:rsidRPr="0085081F">
        <w:rPr>
          <w:vertAlign w:val="subscript"/>
          <w:lang w:val="en-ZA"/>
        </w:rPr>
        <w:t>4</w:t>
      </w:r>
      <w:r w:rsidRPr="0085081F">
        <w:rPr>
          <w:lang w:val="en-ZA"/>
        </w:rPr>
        <w:t xml:space="preserve">) </w:t>
      </w:r>
      <w:r w:rsidR="006A2BFA">
        <w:rPr>
          <w:lang w:val="en-ZA"/>
        </w:rPr>
        <w:t>is a promising</w:t>
      </w:r>
      <w:r w:rsidRPr="0085081F">
        <w:rPr>
          <w:lang w:val="en-ZA"/>
        </w:rPr>
        <w:t xml:space="preserve"> catalyst for </w:t>
      </w:r>
      <w:r w:rsidR="00231383">
        <w:rPr>
          <w:lang w:val="en-ZA"/>
        </w:rPr>
        <w:t>the preferential oxidation of carbon monoxide (</w:t>
      </w:r>
      <w:r w:rsidRPr="0085081F">
        <w:rPr>
          <w:lang w:val="en-ZA"/>
        </w:rPr>
        <w:t>CO-PrOx</w:t>
      </w:r>
      <w:r w:rsidR="00231383">
        <w:rPr>
          <w:lang w:val="en-ZA"/>
        </w:rPr>
        <w:t>)</w:t>
      </w:r>
      <w:r w:rsidR="006A2BFA">
        <w:rPr>
          <w:lang w:val="en-ZA"/>
        </w:rPr>
        <w:t xml:space="preserve"> in hydrogen-rich gases</w:t>
      </w:r>
      <w:r>
        <w:rPr>
          <w:lang w:val="en-ZA"/>
        </w:rPr>
        <w:t>,</w:t>
      </w:r>
      <w:r w:rsidRPr="0085081F">
        <w:rPr>
          <w:lang w:val="en-ZA"/>
        </w:rPr>
        <w:t xml:space="preserve"> </w:t>
      </w:r>
      <w:r>
        <w:rPr>
          <w:lang w:val="en-ZA"/>
        </w:rPr>
        <w:t>h</w:t>
      </w:r>
      <w:r w:rsidRPr="0085081F">
        <w:rPr>
          <w:lang w:val="en-ZA"/>
        </w:rPr>
        <w:t>owever, Co</w:t>
      </w:r>
      <w:r w:rsidRPr="0085081F">
        <w:rPr>
          <w:vertAlign w:val="subscript"/>
          <w:lang w:val="en-ZA"/>
        </w:rPr>
        <w:t>3</w:t>
      </w:r>
      <w:r w:rsidRPr="0085081F">
        <w:rPr>
          <w:lang w:val="en-ZA"/>
        </w:rPr>
        <w:t>O</w:t>
      </w:r>
      <w:r w:rsidRPr="0085081F">
        <w:rPr>
          <w:vertAlign w:val="subscript"/>
          <w:lang w:val="en-ZA"/>
        </w:rPr>
        <w:t>4</w:t>
      </w:r>
      <w:r w:rsidRPr="0085081F">
        <w:rPr>
          <w:lang w:val="en-ZA"/>
        </w:rPr>
        <w:t xml:space="preserve"> suffers from bulk reduction at elevated temperatures (&gt; 200 °C), resulting in the formation of metallic Co (Co</w:t>
      </w:r>
      <w:r w:rsidRPr="0085081F">
        <w:rPr>
          <w:vertAlign w:val="superscript"/>
          <w:lang w:val="en-ZA"/>
        </w:rPr>
        <w:t>0</w:t>
      </w:r>
      <w:r w:rsidRPr="0085081F">
        <w:rPr>
          <w:lang w:val="en-ZA"/>
        </w:rPr>
        <w:t>)</w:t>
      </w:r>
      <w:r>
        <w:rPr>
          <w:lang w:val="en-ZA"/>
        </w:rPr>
        <w:t>.</w:t>
      </w:r>
      <w:r w:rsidRPr="0085081F">
        <w:rPr>
          <w:lang w:val="en-ZA"/>
        </w:rPr>
        <w:t xml:space="preserve"> </w:t>
      </w:r>
      <w:r>
        <w:rPr>
          <w:lang w:val="en-ZA"/>
        </w:rPr>
        <w:t>The formation of Co</w:t>
      </w:r>
      <w:r w:rsidRPr="0085081F">
        <w:rPr>
          <w:vertAlign w:val="superscript"/>
          <w:lang w:val="en-ZA"/>
        </w:rPr>
        <w:t>0</w:t>
      </w:r>
      <w:r w:rsidRPr="0085081F">
        <w:rPr>
          <w:lang w:val="en-ZA"/>
        </w:rPr>
        <w:t xml:space="preserve"> </w:t>
      </w:r>
      <w:r>
        <w:rPr>
          <w:lang w:val="en-ZA"/>
        </w:rPr>
        <w:t>changes the conversion pathway of CO from oxidation to hydrogenation, forming</w:t>
      </w:r>
      <w:r w:rsidR="006A2BFA">
        <w:rPr>
          <w:lang w:val="en-ZA"/>
        </w:rPr>
        <w:t xml:space="preserve"> methane</w:t>
      </w:r>
      <w:r>
        <w:rPr>
          <w:lang w:val="en-ZA"/>
        </w:rPr>
        <w:t xml:space="preserve"> </w:t>
      </w:r>
      <w:r w:rsidR="006A2BFA">
        <w:rPr>
          <w:lang w:val="en-ZA"/>
        </w:rPr>
        <w:t>(</w:t>
      </w:r>
      <w:r w:rsidRPr="0085081F">
        <w:rPr>
          <w:lang w:val="en-ZA"/>
        </w:rPr>
        <w:t>CH</w:t>
      </w:r>
      <w:r w:rsidRPr="0085081F">
        <w:rPr>
          <w:vertAlign w:val="subscript"/>
          <w:lang w:val="en-ZA"/>
        </w:rPr>
        <w:t>4</w:t>
      </w:r>
      <w:r w:rsidR="006A2BFA">
        <w:rPr>
          <w:lang w:val="en-ZA"/>
        </w:rPr>
        <w:t>)</w:t>
      </w:r>
      <w:r w:rsidRPr="0085081F">
        <w:rPr>
          <w:lang w:val="en-ZA"/>
        </w:rPr>
        <w:t xml:space="preserve"> </w:t>
      </w:r>
      <w:r>
        <w:rPr>
          <w:lang w:val="en-ZA"/>
        </w:rPr>
        <w:t xml:space="preserve">instead of </w:t>
      </w:r>
      <w:r w:rsidR="006A2BFA">
        <w:rPr>
          <w:lang w:val="en-ZA"/>
        </w:rPr>
        <w:t>carbon dioxide (</w:t>
      </w:r>
      <w:r>
        <w:rPr>
          <w:lang w:val="en-ZA"/>
        </w:rPr>
        <w:t>CO</w:t>
      </w:r>
      <w:r w:rsidRPr="0085081F">
        <w:rPr>
          <w:vertAlign w:val="subscript"/>
          <w:lang w:val="en-ZA"/>
        </w:rPr>
        <w:t>2</w:t>
      </w:r>
      <w:r w:rsidR="006A2BFA">
        <w:rPr>
          <w:lang w:val="en-ZA"/>
        </w:rPr>
        <w:t>),</w:t>
      </w:r>
      <w:r w:rsidR="00751003">
        <w:rPr>
          <w:lang w:val="en-ZA"/>
        </w:rPr>
        <w:t xml:space="preserve"> which is </w:t>
      </w:r>
      <w:r w:rsidR="007A0C1C">
        <w:rPr>
          <w:lang w:val="en-ZA"/>
        </w:rPr>
        <w:t xml:space="preserve">an </w:t>
      </w:r>
      <w:r w:rsidR="00751003">
        <w:rPr>
          <w:lang w:val="en-ZA"/>
        </w:rPr>
        <w:t>undesired</w:t>
      </w:r>
      <w:r>
        <w:rPr>
          <w:lang w:val="en-ZA"/>
        </w:rPr>
        <w:t xml:space="preserve"> </w:t>
      </w:r>
      <w:r w:rsidR="007A0C1C">
        <w:rPr>
          <w:lang w:val="en-ZA"/>
        </w:rPr>
        <w:t xml:space="preserve">outcome </w:t>
      </w:r>
      <w:r w:rsidRPr="0085081F">
        <w:rPr>
          <w:lang w:val="en-ZA"/>
        </w:rPr>
        <w:fldChar w:fldCharType="begin" w:fldLock="1"/>
      </w:r>
      <w:r w:rsidR="003A56A2">
        <w:rPr>
          <w:lang w:val="en-ZA"/>
        </w:rPr>
        <w:instrText>ADDIN CSL_CITATION {"citationItems":[{"id":"ITEM-1","itemData":{"DOI":"10.1021/acscatal.9b00685","ISSN":"2155-5435","abstract":"Different supporting procedures were followed to alter the nanoparticle-support interactions (NPSI) in two Co3O4/Al2O3 catalysts, prepared using the reverse micelle technique. The catalysts were tested in the dry preferential oxidation of carbon monoxide (CO-PrOx) while their phase stability was monitored using four complementary in situ techniques, viz., magnet-based characterization, PXRD, and combined XAS/DRIFTS, as well as quasi in situ XPS, respectively. The catalyst with weak NPSI achieved higher CO2 yields and selectivities at temperatures below 225 °C compared to the sample with strong NPSI. However, relatively high degrees of reduction of Co3O4 to metallic Co were reached between 250 and 350 °C for the same catalyst. The presence of metallic Co led to the undesired formation of CH4, reaching a yield of over 90% above 300 °C. The catalyst with strong NPSI formed very low amounts of metallic Co (less than 1%) and CH4 (yield of up to 20%) even at 350 °C. When the temperature was decreased from 350 to 50 °C under the reaction gas, both catalysts were slightly reoxidized and gradually regained their CO oxidation activity, while the formation of CH4 diminished. The present study shows a strong relationship between catalyst performance (i.e., activity and selectivity) and phase stability, both of which are affected by the strength of the NPSI. When using a metal oxide as the active CO-PrOx catalyst, it is important for it to have significant reduction resistance to avoid the formation of undesired products, e.g., CH4. However, the metal oxide should also be reducible (especially on the surface) to allow for a complete conversion of CO to CO2 via the Mars-van Krevelen mechanism.","author":[{"dropping-particle":"","family":"Nyathi","given":"Thulani M.","non-dropping-particle":"","parse-names":false,"suffix":""},{"dropping-particle":"","family":"Fischer","given":"Nico","non-dropping-particle":"","parse-names":false,"suffix":""},{"dropping-particle":"","family":"York","given":"Andrew P. E.","non-dropping-particle":"","parse-names":false,"suffix":""},{"dropping-particle":"","family":"Morgan","given":"David J.","non-dropping-particle":"","parse-names":false,"suffix":""},{"dropping-particle":"","family":"Hutchings","given":"Graham J.","non-dropping-particle":"","parse-names":false,"suffix":""},{"dropping-particle":"","family":"Gibson","given":"Emma K.","non-dropping-particle":"","parse-names":false,"suffix":""},{"dropping-particle":"","family":"Wells","given":"Peter P.","non-dropping-particle":"","parse-names":false,"suffix":""},{"dropping-particle":"","family":"Catlow","given":"C. Richard A.","non-dropping-particle":"","parse-names":false,"suffix":""},{"dropping-particle":"","family":"Claeys","given":"Michael","non-dropping-particle":"","parse-names":false,"suffix":""}],"container-title":"ACS Catalysis","genre":"research-article","id":"ITEM-1","issue":"8","issued":{"date-parts":[["2019","8","2"]]},"page":"7166-7178","publisher":"American Chemical Society","title":"Impact of Nanoparticle–Support Interactions in Co3O4/Al2O3 Catalysts for the Preferential Oxidation of Carbon Monoxide","type":"article-journal","volume":"9"},"uris":["http://www.mendeley.com/documents/?uuid=2357db4b-456f-4031-8b5a-690e15aa212f"]}],"mendeley":{"formattedCitation":"[1]","plainTextFormattedCitation":"[1]","previouslyFormattedCitation":"[2]"},"properties":{"noteIndex":0},"schema":"https://github.com/citation-style-language/schema/raw/master/csl-citation.json"}</w:instrText>
      </w:r>
      <w:r w:rsidRPr="0085081F">
        <w:rPr>
          <w:lang w:val="en-ZA"/>
        </w:rPr>
        <w:fldChar w:fldCharType="separate"/>
      </w:r>
      <w:r w:rsidR="003A56A2" w:rsidRPr="003A56A2">
        <w:rPr>
          <w:noProof/>
          <w:lang w:val="en-ZA"/>
        </w:rPr>
        <w:t>[1]</w:t>
      </w:r>
      <w:r w:rsidRPr="0085081F">
        <w:fldChar w:fldCharType="end"/>
      </w:r>
      <w:r w:rsidRPr="0085081F">
        <w:rPr>
          <w:lang w:val="en-ZA"/>
        </w:rPr>
        <w:t>.</w:t>
      </w:r>
      <w:r w:rsidR="005572AC">
        <w:rPr>
          <w:lang w:val="en-ZA"/>
        </w:rPr>
        <w:t xml:space="preserve"> We attempted to stabilise Co</w:t>
      </w:r>
      <w:r w:rsidR="005572AC" w:rsidRPr="005572AC">
        <w:rPr>
          <w:vertAlign w:val="subscript"/>
          <w:lang w:val="en-ZA"/>
        </w:rPr>
        <w:t>3</w:t>
      </w:r>
      <w:r w:rsidR="005572AC">
        <w:rPr>
          <w:lang w:val="en-ZA"/>
        </w:rPr>
        <w:t>O</w:t>
      </w:r>
      <w:r w:rsidR="005572AC" w:rsidRPr="005572AC">
        <w:rPr>
          <w:vertAlign w:val="subscript"/>
          <w:lang w:val="en-ZA"/>
        </w:rPr>
        <w:t>4</w:t>
      </w:r>
      <w:r w:rsidR="005572AC">
        <w:rPr>
          <w:lang w:val="en-ZA"/>
        </w:rPr>
        <w:t xml:space="preserve"> nanoparticles on an alumina (Al</w:t>
      </w:r>
      <w:r w:rsidR="005572AC" w:rsidRPr="005572AC">
        <w:rPr>
          <w:vertAlign w:val="subscript"/>
          <w:lang w:val="en-ZA"/>
        </w:rPr>
        <w:t>2</w:t>
      </w:r>
      <w:r w:rsidR="005572AC">
        <w:rPr>
          <w:lang w:val="en-ZA"/>
        </w:rPr>
        <w:t>O</w:t>
      </w:r>
      <w:r w:rsidR="005572AC" w:rsidRPr="005572AC">
        <w:rPr>
          <w:vertAlign w:val="subscript"/>
          <w:lang w:val="en-ZA"/>
        </w:rPr>
        <w:t>3</w:t>
      </w:r>
      <w:r w:rsidR="005572AC">
        <w:rPr>
          <w:lang w:val="en-ZA"/>
        </w:rPr>
        <w:t xml:space="preserve">) support using two different anchoring methods, </w:t>
      </w:r>
      <w:r w:rsidR="00006477">
        <w:rPr>
          <w:lang w:val="en-ZA"/>
        </w:rPr>
        <w:t xml:space="preserve">which </w:t>
      </w:r>
      <w:r w:rsidR="005572AC">
        <w:rPr>
          <w:lang w:val="en-ZA"/>
        </w:rPr>
        <w:t>result</w:t>
      </w:r>
      <w:r w:rsidR="00006477">
        <w:rPr>
          <w:lang w:val="en-ZA"/>
        </w:rPr>
        <w:t>ed</w:t>
      </w:r>
      <w:r w:rsidR="005572AC">
        <w:rPr>
          <w:lang w:val="en-ZA"/>
        </w:rPr>
        <w:t xml:space="preserve"> in two </w:t>
      </w:r>
      <w:r w:rsidR="00751003">
        <w:rPr>
          <w:lang w:val="en-ZA"/>
        </w:rPr>
        <w:t>Al</w:t>
      </w:r>
      <w:r w:rsidR="00751003" w:rsidRPr="00751003">
        <w:rPr>
          <w:vertAlign w:val="subscript"/>
          <w:lang w:val="en-ZA"/>
        </w:rPr>
        <w:t>2</w:t>
      </w:r>
      <w:r w:rsidR="00751003">
        <w:rPr>
          <w:lang w:val="en-ZA"/>
        </w:rPr>
        <w:t>O</w:t>
      </w:r>
      <w:r w:rsidR="00751003" w:rsidRPr="00751003">
        <w:rPr>
          <w:vertAlign w:val="subscript"/>
          <w:lang w:val="en-ZA"/>
        </w:rPr>
        <w:t>3</w:t>
      </w:r>
      <w:r w:rsidR="00751003">
        <w:rPr>
          <w:lang w:val="en-ZA"/>
        </w:rPr>
        <w:t xml:space="preserve">-supported </w:t>
      </w:r>
      <w:r w:rsidR="005572AC">
        <w:rPr>
          <w:lang w:val="en-ZA"/>
        </w:rPr>
        <w:t>Co</w:t>
      </w:r>
      <w:r w:rsidR="005572AC" w:rsidRPr="005572AC">
        <w:rPr>
          <w:vertAlign w:val="subscript"/>
          <w:lang w:val="en-ZA"/>
        </w:rPr>
        <w:t>3</w:t>
      </w:r>
      <w:r w:rsidR="005572AC">
        <w:rPr>
          <w:lang w:val="en-ZA"/>
        </w:rPr>
        <w:t>O</w:t>
      </w:r>
      <w:r w:rsidR="005572AC" w:rsidRPr="005572AC">
        <w:rPr>
          <w:vertAlign w:val="subscript"/>
          <w:lang w:val="en-ZA"/>
        </w:rPr>
        <w:t>4</w:t>
      </w:r>
      <w:r w:rsidR="005572AC">
        <w:rPr>
          <w:lang w:val="en-ZA"/>
        </w:rPr>
        <w:t xml:space="preserve"> catalysts, </w:t>
      </w:r>
      <w:r w:rsidR="005572AC" w:rsidRPr="005572AC">
        <w:rPr>
          <w:i/>
          <w:iCs/>
          <w:lang w:val="en-ZA"/>
        </w:rPr>
        <w:t>i.e.</w:t>
      </w:r>
      <w:r w:rsidR="005572AC">
        <w:rPr>
          <w:lang w:val="en-ZA"/>
        </w:rPr>
        <w:t>, CAT 1 and CAT 2, where the strength of the Co</w:t>
      </w:r>
      <w:r w:rsidR="005572AC" w:rsidRPr="005572AC">
        <w:rPr>
          <w:vertAlign w:val="subscript"/>
          <w:lang w:val="en-ZA"/>
        </w:rPr>
        <w:t>3</w:t>
      </w:r>
      <w:r w:rsidR="005572AC">
        <w:rPr>
          <w:lang w:val="en-ZA"/>
        </w:rPr>
        <w:t>O</w:t>
      </w:r>
      <w:r w:rsidR="005572AC" w:rsidRPr="005572AC">
        <w:rPr>
          <w:vertAlign w:val="subscript"/>
          <w:lang w:val="en-ZA"/>
        </w:rPr>
        <w:t>4</w:t>
      </w:r>
      <w:r w:rsidR="005572AC">
        <w:rPr>
          <w:lang w:val="en-ZA"/>
        </w:rPr>
        <w:t>-Al</w:t>
      </w:r>
      <w:r w:rsidR="005572AC" w:rsidRPr="005572AC">
        <w:rPr>
          <w:vertAlign w:val="subscript"/>
          <w:lang w:val="en-ZA"/>
        </w:rPr>
        <w:t>2</w:t>
      </w:r>
      <w:r w:rsidR="005572AC">
        <w:rPr>
          <w:lang w:val="en-ZA"/>
        </w:rPr>
        <w:t>O</w:t>
      </w:r>
      <w:r w:rsidR="005572AC" w:rsidRPr="005572AC">
        <w:rPr>
          <w:vertAlign w:val="subscript"/>
          <w:lang w:val="en-ZA"/>
        </w:rPr>
        <w:t>3</w:t>
      </w:r>
      <w:r w:rsidR="005572AC">
        <w:rPr>
          <w:lang w:val="en-ZA"/>
        </w:rPr>
        <w:t xml:space="preserve"> interaction </w:t>
      </w:r>
      <w:r w:rsidR="00751003">
        <w:rPr>
          <w:lang w:val="en-ZA"/>
        </w:rPr>
        <w:t>wa</w:t>
      </w:r>
      <w:r w:rsidR="005572AC">
        <w:rPr>
          <w:lang w:val="en-ZA"/>
        </w:rPr>
        <w:t xml:space="preserve">s different between the two </w:t>
      </w:r>
      <w:r w:rsidR="00C741A6">
        <w:rPr>
          <w:lang w:val="en-ZA"/>
        </w:rPr>
        <w:t xml:space="preserve">prepared </w:t>
      </w:r>
      <w:r w:rsidR="005572AC">
        <w:rPr>
          <w:lang w:val="en-ZA"/>
        </w:rPr>
        <w:t>catalysts.</w:t>
      </w:r>
      <w:r w:rsidR="00751003">
        <w:rPr>
          <w:lang w:val="en-ZA"/>
        </w:rPr>
        <w:t xml:space="preserve"> The phase stability of the catalysts was </w:t>
      </w:r>
      <w:r w:rsidR="007A0C1C">
        <w:rPr>
          <w:lang w:val="en-ZA"/>
        </w:rPr>
        <w:t>monitored</w:t>
      </w:r>
      <w:r w:rsidR="00751003">
        <w:rPr>
          <w:lang w:val="en-ZA"/>
        </w:rPr>
        <w:t xml:space="preserve"> </w:t>
      </w:r>
      <w:r w:rsidR="00751003" w:rsidRPr="00751003">
        <w:rPr>
          <w:i/>
          <w:iCs/>
          <w:lang w:val="en-ZA"/>
        </w:rPr>
        <w:t>in situ</w:t>
      </w:r>
      <w:r w:rsidR="00CE52E7">
        <w:rPr>
          <w:lang w:val="en-ZA"/>
        </w:rPr>
        <w:t xml:space="preserve">, </w:t>
      </w:r>
      <w:r w:rsidR="00CE52E7" w:rsidRPr="00CE52E7">
        <w:rPr>
          <w:i/>
          <w:iCs/>
          <w:lang w:val="en-ZA"/>
        </w:rPr>
        <w:t>i.e.</w:t>
      </w:r>
      <w:r w:rsidR="00CE52E7">
        <w:rPr>
          <w:lang w:val="en-ZA"/>
        </w:rPr>
        <w:t xml:space="preserve">, during a CO-PrOx reaction, </w:t>
      </w:r>
      <w:r w:rsidR="00751003">
        <w:rPr>
          <w:lang w:val="en-ZA"/>
        </w:rPr>
        <w:t>using synchrotron-based X-ray absorption spectroscopy (XAS) in Diamond Light Source, U</w:t>
      </w:r>
      <w:r w:rsidR="007A0C1C">
        <w:rPr>
          <w:lang w:val="en-ZA"/>
        </w:rPr>
        <w:t xml:space="preserve">nited </w:t>
      </w:r>
      <w:r w:rsidR="00751003">
        <w:rPr>
          <w:lang w:val="en-ZA"/>
        </w:rPr>
        <w:t>K</w:t>
      </w:r>
      <w:r w:rsidR="007A0C1C">
        <w:rPr>
          <w:lang w:val="en-ZA"/>
        </w:rPr>
        <w:t>ingdom</w:t>
      </w:r>
      <w:r w:rsidR="00751003">
        <w:rPr>
          <w:lang w:val="en-ZA"/>
        </w:rPr>
        <w:t xml:space="preserve"> (session number: </w:t>
      </w:r>
      <w:r w:rsidR="00751003" w:rsidRPr="00751003">
        <w:rPr>
          <w:lang w:val="en-ZA"/>
        </w:rPr>
        <w:t>SP16006-1</w:t>
      </w:r>
      <w:r w:rsidR="00751003">
        <w:rPr>
          <w:lang w:val="en-ZA"/>
        </w:rPr>
        <w:t>)</w:t>
      </w:r>
      <w:r w:rsidR="00CE52E7">
        <w:rPr>
          <w:lang w:val="en-ZA"/>
        </w:rPr>
        <w:t xml:space="preserve">. This was </w:t>
      </w:r>
      <w:r w:rsidR="007A0C1C">
        <w:rPr>
          <w:lang w:val="en-ZA"/>
        </w:rPr>
        <w:t>later consolidated with kinetic data</w:t>
      </w:r>
      <w:r w:rsidR="00C741A6">
        <w:rPr>
          <w:lang w:val="en-ZA"/>
        </w:rPr>
        <w:t xml:space="preserve"> </w:t>
      </w:r>
      <w:r w:rsidR="007A0C1C">
        <w:rPr>
          <w:lang w:val="en-ZA"/>
        </w:rPr>
        <w:t xml:space="preserve">obtained </w:t>
      </w:r>
      <w:r w:rsidR="007A0C1C" w:rsidRPr="007A0C1C">
        <w:rPr>
          <w:i/>
          <w:iCs/>
          <w:lang w:val="en-ZA"/>
        </w:rPr>
        <w:t>via</w:t>
      </w:r>
      <w:r w:rsidR="007A0C1C">
        <w:rPr>
          <w:lang w:val="en-ZA"/>
        </w:rPr>
        <w:t xml:space="preserve"> gas chromatograph</w:t>
      </w:r>
      <w:r w:rsidR="00C741A6">
        <w:rPr>
          <w:lang w:val="en-ZA"/>
        </w:rPr>
        <w:t>y</w:t>
      </w:r>
      <w:r w:rsidR="007A0C1C">
        <w:rPr>
          <w:lang w:val="en-ZA"/>
        </w:rPr>
        <w:t xml:space="preserve"> </w:t>
      </w:r>
      <w:r w:rsidR="00006477">
        <w:rPr>
          <w:lang w:val="en-ZA"/>
        </w:rPr>
        <w:t>at</w:t>
      </w:r>
      <w:r w:rsidR="007A0C1C">
        <w:rPr>
          <w:lang w:val="en-ZA"/>
        </w:rPr>
        <w:t xml:space="preserve"> the University of Cape Town, South Africa </w:t>
      </w:r>
      <w:r w:rsidR="007A0C1C" w:rsidRPr="0085081F">
        <w:rPr>
          <w:lang w:val="en-ZA"/>
        </w:rPr>
        <w:fldChar w:fldCharType="begin" w:fldLock="1"/>
      </w:r>
      <w:r w:rsidR="003A56A2">
        <w:rPr>
          <w:lang w:val="en-ZA"/>
        </w:rPr>
        <w:instrText>ADDIN CSL_CITATION {"citationItems":[{"id":"ITEM-1","itemData":{"DOI":"10.1021/acscatal.9b00685","ISSN":"2155-5435","abstract":"Different supporting procedures were followed to alter the nanoparticle-support interactions (NPSI) in two Co3O4/Al2O3 catalysts, prepared using the reverse micelle technique. The catalysts were tested in the dry preferential oxidation of carbon monoxide (CO-PrOx) while their phase stability was monitored using four complementary in situ techniques, viz., magnet-based characterization, PXRD, and combined XAS/DRIFTS, as well as quasi in situ XPS, respectively. The catalyst with weak NPSI achieved higher CO2 yields and selectivities at temperatures below 225 °C compared to the sample with strong NPSI. However, relatively high degrees of reduction of Co3O4 to metallic Co were reached between 250 and 350 °C for the same catalyst. The presence of metallic Co led to the undesired formation of CH4, reaching a yield of over 90% above 300 °C. The catalyst with strong NPSI formed very low amounts of metallic Co (less than 1%) and CH4 (yield of up to 20%) even at 350 °C. When the temperature was decreased from 350 to 50 °C under the reaction gas, both catalysts were slightly reoxidized and gradually regained their CO oxidation activity, while the formation of CH4 diminished. The present study shows a strong relationship between catalyst performance (i.e., activity and selectivity) and phase stability, both of which are affected by the strength of the NPSI. When using a metal oxide as the active CO-PrOx catalyst, it is important for it to have significant reduction resistance to avoid the formation of undesired products, e.g., CH4. However, the metal oxide should also be reducible (especially on the surface) to allow for a complete conversion of CO to CO2 via the Mars-van Krevelen mechanism.","author":[{"dropping-particle":"","family":"Nyathi","given":"Thulani M.","non-dropping-particle":"","parse-names":false,"suffix":""},{"dropping-particle":"","family":"Fischer","given":"Nico","non-dropping-particle":"","parse-names":false,"suffix":""},{"dropping-particle":"","family":"York","given":"Andrew P. E.","non-dropping-particle":"","parse-names":false,"suffix":""},{"dropping-particle":"","family":"Morgan","given":"David J.","non-dropping-particle":"","parse-names":false,"suffix":""},{"dropping-particle":"","family":"Hutchings","given":"Graham J.","non-dropping-particle":"","parse-names":false,"suffix":""},{"dropping-particle":"","family":"Gibson","given":"Emma K.","non-dropping-particle":"","parse-names":false,"suffix":""},{"dropping-particle":"","family":"Wells","given":"Peter P.","non-dropping-particle":"","parse-names":false,"suffix":""},{"dropping-particle":"","family":"Catlow","given":"C. Richard A.","non-dropping-particle":"","parse-names":false,"suffix":""},{"dropping-particle":"","family":"Claeys","given":"Michael","non-dropping-particle":"","parse-names":false,"suffix":""}],"container-title":"ACS Catalysis","genre":"research-article","id":"ITEM-1","issue":"8","issued":{"date-parts":[["2019","8","2"]]},"page":"7166-7178","publisher":"American Chemical Society","title":"Impact of Nanoparticle–Support Interactions in Co3O4/Al2O3 Catalysts for the Preferential Oxidation of Carbon Monoxide","type":"article-journal","volume":"9"},"uris":["http://www.mendeley.com/documents/?uuid=2357db4b-456f-4031-8b5a-690e15aa212f"]}],"mendeley":{"formattedCitation":"[1]","plainTextFormattedCitation":"[1]","previouslyFormattedCitation":"[2]"},"properties":{"noteIndex":0},"schema":"https://github.com/citation-style-language/schema/raw/master/csl-citation.json"}</w:instrText>
      </w:r>
      <w:r w:rsidR="007A0C1C" w:rsidRPr="0085081F">
        <w:rPr>
          <w:lang w:val="en-ZA"/>
        </w:rPr>
        <w:fldChar w:fldCharType="separate"/>
      </w:r>
      <w:r w:rsidR="003A56A2" w:rsidRPr="003A56A2">
        <w:rPr>
          <w:noProof/>
          <w:lang w:val="en-ZA"/>
        </w:rPr>
        <w:t>[1]</w:t>
      </w:r>
      <w:r w:rsidR="007A0C1C" w:rsidRPr="0085081F">
        <w:fldChar w:fldCharType="end"/>
      </w:r>
      <w:r w:rsidR="007A0C1C">
        <w:rPr>
          <w:lang w:val="en-ZA"/>
        </w:rPr>
        <w:t xml:space="preserve">. </w:t>
      </w:r>
    </w:p>
    <w:p w14:paraId="5274C352" w14:textId="04942DFB" w:rsidR="00A9295F" w:rsidRDefault="00BE279C" w:rsidP="00531E90">
      <w:pPr>
        <w:pStyle w:val="MTDisplayEquation"/>
      </w:pPr>
      <w:r>
        <w:tab/>
      </w:r>
    </w:p>
    <w:p w14:paraId="647612E7" w14:textId="77777777" w:rsidR="00592806" w:rsidRDefault="00214CB1" w:rsidP="00160B67">
      <w:pPr>
        <w:autoSpaceDE w:val="0"/>
        <w:autoSpaceDN w:val="0"/>
        <w:adjustRightInd w:val="0"/>
        <w:rPr>
          <w:b/>
          <w:color w:val="000000"/>
          <w:sz w:val="20"/>
          <w:szCs w:val="20"/>
        </w:rPr>
      </w:pPr>
      <w:r>
        <w:rPr>
          <w:b/>
          <w:color w:val="000000"/>
          <w:sz w:val="20"/>
          <w:szCs w:val="20"/>
        </w:rPr>
        <w:t xml:space="preserve">2. </w:t>
      </w:r>
      <w:r w:rsidR="00914CA2">
        <w:rPr>
          <w:b/>
          <w:color w:val="000000"/>
          <w:sz w:val="20"/>
          <w:szCs w:val="20"/>
        </w:rPr>
        <w:t>Results</w:t>
      </w:r>
    </w:p>
    <w:p w14:paraId="20C01A43" w14:textId="77777777" w:rsidR="00F9475E" w:rsidRDefault="00F9475E" w:rsidP="00160B67">
      <w:pPr>
        <w:autoSpaceDE w:val="0"/>
        <w:autoSpaceDN w:val="0"/>
        <w:adjustRightInd w:val="0"/>
        <w:rPr>
          <w:b/>
          <w:color w:val="000000"/>
          <w:sz w:val="20"/>
          <w:szCs w:val="20"/>
        </w:rPr>
      </w:pPr>
    </w:p>
    <w:p w14:paraId="04BC36DD" w14:textId="01D96B8D" w:rsidR="00914CA2" w:rsidRDefault="00231383" w:rsidP="001A1F19">
      <w:pPr>
        <w:autoSpaceDE w:val="0"/>
        <w:autoSpaceDN w:val="0"/>
        <w:adjustRightInd w:val="0"/>
        <w:jc w:val="both"/>
        <w:rPr>
          <w:color w:val="000000"/>
          <w:sz w:val="20"/>
          <w:szCs w:val="20"/>
        </w:rPr>
      </w:pPr>
      <w:r>
        <w:rPr>
          <w:color w:val="000000"/>
          <w:sz w:val="20"/>
          <w:szCs w:val="20"/>
        </w:rPr>
        <w:t>Our results show that the Co</w:t>
      </w:r>
      <w:r w:rsidRPr="00231383">
        <w:rPr>
          <w:color w:val="000000"/>
          <w:sz w:val="20"/>
          <w:szCs w:val="20"/>
          <w:vertAlign w:val="subscript"/>
        </w:rPr>
        <w:t>3</w:t>
      </w:r>
      <w:r>
        <w:rPr>
          <w:color w:val="000000"/>
          <w:sz w:val="20"/>
          <w:szCs w:val="20"/>
        </w:rPr>
        <w:t>O</w:t>
      </w:r>
      <w:r w:rsidRPr="00231383">
        <w:rPr>
          <w:color w:val="000000"/>
          <w:sz w:val="20"/>
          <w:szCs w:val="20"/>
          <w:vertAlign w:val="subscript"/>
        </w:rPr>
        <w:t>4</w:t>
      </w:r>
      <w:r>
        <w:rPr>
          <w:color w:val="000000"/>
          <w:sz w:val="20"/>
          <w:szCs w:val="20"/>
        </w:rPr>
        <w:t xml:space="preserve"> </w:t>
      </w:r>
      <w:r w:rsidR="00C741A6">
        <w:rPr>
          <w:color w:val="000000"/>
          <w:sz w:val="20"/>
          <w:szCs w:val="20"/>
        </w:rPr>
        <w:t>nanoparticles</w:t>
      </w:r>
      <w:r>
        <w:rPr>
          <w:color w:val="000000"/>
          <w:sz w:val="20"/>
          <w:szCs w:val="20"/>
        </w:rPr>
        <w:t xml:space="preserve"> in CAT 1 reduce to CoO and finally to Co</w:t>
      </w:r>
      <w:r w:rsidRPr="00231383">
        <w:rPr>
          <w:color w:val="000000"/>
          <w:sz w:val="20"/>
          <w:szCs w:val="20"/>
          <w:vertAlign w:val="superscript"/>
        </w:rPr>
        <w:t>0</w:t>
      </w:r>
      <w:r>
        <w:rPr>
          <w:color w:val="000000"/>
          <w:sz w:val="20"/>
          <w:szCs w:val="20"/>
        </w:rPr>
        <w:t xml:space="preserve"> to a greater extent than in CAT 2</w:t>
      </w:r>
      <w:r w:rsidR="00006477">
        <w:rPr>
          <w:color w:val="000000"/>
          <w:sz w:val="20"/>
          <w:szCs w:val="20"/>
        </w:rPr>
        <w:t xml:space="preserve"> (Figure 1)</w:t>
      </w:r>
      <w:r>
        <w:rPr>
          <w:color w:val="000000"/>
          <w:sz w:val="20"/>
          <w:szCs w:val="20"/>
        </w:rPr>
        <w:t>, which can be attributed to the weak</w:t>
      </w:r>
      <w:r w:rsidR="00006477">
        <w:rPr>
          <w:color w:val="000000"/>
          <w:sz w:val="20"/>
          <w:szCs w:val="20"/>
        </w:rPr>
        <w:t>er</w:t>
      </w:r>
      <w:r>
        <w:rPr>
          <w:color w:val="000000"/>
          <w:sz w:val="20"/>
          <w:szCs w:val="20"/>
        </w:rPr>
        <w:t xml:space="preserve"> interactions existing between Co</w:t>
      </w:r>
      <w:r w:rsidRPr="00231383">
        <w:rPr>
          <w:color w:val="000000"/>
          <w:sz w:val="20"/>
          <w:szCs w:val="20"/>
          <w:vertAlign w:val="subscript"/>
        </w:rPr>
        <w:t>3</w:t>
      </w:r>
      <w:r>
        <w:rPr>
          <w:color w:val="000000"/>
          <w:sz w:val="20"/>
          <w:szCs w:val="20"/>
        </w:rPr>
        <w:t>O</w:t>
      </w:r>
      <w:r w:rsidRPr="00231383">
        <w:rPr>
          <w:color w:val="000000"/>
          <w:sz w:val="20"/>
          <w:szCs w:val="20"/>
          <w:vertAlign w:val="subscript"/>
        </w:rPr>
        <w:t>4</w:t>
      </w:r>
      <w:r>
        <w:rPr>
          <w:color w:val="000000"/>
          <w:sz w:val="20"/>
          <w:szCs w:val="20"/>
        </w:rPr>
        <w:t xml:space="preserve"> and Al</w:t>
      </w:r>
      <w:r w:rsidRPr="00231383">
        <w:rPr>
          <w:color w:val="000000"/>
          <w:sz w:val="20"/>
          <w:szCs w:val="20"/>
          <w:vertAlign w:val="subscript"/>
        </w:rPr>
        <w:t>2</w:t>
      </w:r>
      <w:r>
        <w:rPr>
          <w:color w:val="000000"/>
          <w:sz w:val="20"/>
          <w:szCs w:val="20"/>
        </w:rPr>
        <w:t>O</w:t>
      </w:r>
      <w:r w:rsidRPr="00231383">
        <w:rPr>
          <w:color w:val="000000"/>
          <w:sz w:val="20"/>
          <w:szCs w:val="20"/>
          <w:vertAlign w:val="subscript"/>
        </w:rPr>
        <w:t>3</w:t>
      </w:r>
      <w:r>
        <w:rPr>
          <w:color w:val="000000"/>
          <w:sz w:val="20"/>
          <w:szCs w:val="20"/>
        </w:rPr>
        <w:t xml:space="preserve"> in CAT 1. The weak interactions also allow for high CO</w:t>
      </w:r>
      <w:r w:rsidRPr="00231383">
        <w:rPr>
          <w:color w:val="000000"/>
          <w:sz w:val="20"/>
          <w:szCs w:val="20"/>
          <w:vertAlign w:val="subscript"/>
        </w:rPr>
        <w:t>2</w:t>
      </w:r>
      <w:r>
        <w:rPr>
          <w:color w:val="000000"/>
          <w:sz w:val="20"/>
          <w:szCs w:val="20"/>
        </w:rPr>
        <w:t xml:space="preserve"> formation (</w:t>
      </w:r>
      <w:r w:rsidR="00006477" w:rsidRPr="00006477">
        <w:rPr>
          <w:i/>
          <w:iCs/>
          <w:color w:val="000000"/>
          <w:sz w:val="20"/>
          <w:szCs w:val="20"/>
        </w:rPr>
        <w:t>i.e.</w:t>
      </w:r>
      <w:r w:rsidR="00006477">
        <w:rPr>
          <w:color w:val="000000"/>
          <w:sz w:val="20"/>
          <w:szCs w:val="20"/>
        </w:rPr>
        <w:t>,</w:t>
      </w:r>
      <w:r>
        <w:rPr>
          <w:color w:val="000000"/>
          <w:sz w:val="20"/>
          <w:szCs w:val="20"/>
        </w:rPr>
        <w:t xml:space="preserve"> high CO</w:t>
      </w:r>
      <w:r w:rsidRPr="00231383">
        <w:rPr>
          <w:color w:val="000000"/>
          <w:sz w:val="20"/>
          <w:szCs w:val="20"/>
          <w:vertAlign w:val="subscript"/>
        </w:rPr>
        <w:t>2</w:t>
      </w:r>
      <w:r>
        <w:rPr>
          <w:color w:val="000000"/>
          <w:sz w:val="20"/>
          <w:szCs w:val="20"/>
        </w:rPr>
        <w:t xml:space="preserve"> outlet flow rates) over CAT 1, however, this catalyst </w:t>
      </w:r>
      <w:r w:rsidR="00006477">
        <w:rPr>
          <w:color w:val="000000"/>
          <w:sz w:val="20"/>
          <w:szCs w:val="20"/>
        </w:rPr>
        <w:t xml:space="preserve">also </w:t>
      </w:r>
      <w:r>
        <w:rPr>
          <w:color w:val="000000"/>
          <w:sz w:val="20"/>
          <w:szCs w:val="20"/>
        </w:rPr>
        <w:t>produces high amounts of undesired CH</w:t>
      </w:r>
      <w:r w:rsidRPr="00231383">
        <w:rPr>
          <w:color w:val="000000"/>
          <w:sz w:val="20"/>
          <w:szCs w:val="20"/>
          <w:vertAlign w:val="subscript"/>
        </w:rPr>
        <w:t>4</w:t>
      </w:r>
      <w:r>
        <w:rPr>
          <w:color w:val="000000"/>
          <w:sz w:val="20"/>
          <w:szCs w:val="20"/>
        </w:rPr>
        <w:t xml:space="preserve"> at relatively low temperatures than in the case of CAT 2 (Figure 2)</w:t>
      </w:r>
      <w:r w:rsidR="003A56A2">
        <w:rPr>
          <w:color w:val="000000"/>
          <w:sz w:val="20"/>
          <w:szCs w:val="20"/>
        </w:rPr>
        <w:t xml:space="preserve"> due to the high amounts of unwanted Co</w:t>
      </w:r>
      <w:r w:rsidR="003A56A2" w:rsidRPr="003A56A2">
        <w:rPr>
          <w:color w:val="000000"/>
          <w:sz w:val="20"/>
          <w:szCs w:val="20"/>
          <w:vertAlign w:val="superscript"/>
        </w:rPr>
        <w:t>0</w:t>
      </w:r>
      <w:r w:rsidR="003A56A2">
        <w:rPr>
          <w:color w:val="000000"/>
          <w:sz w:val="20"/>
          <w:szCs w:val="20"/>
        </w:rPr>
        <w:t xml:space="preserve"> formed in CAT 1 (Figure 1)</w:t>
      </w:r>
      <w:r>
        <w:rPr>
          <w:color w:val="000000"/>
          <w:sz w:val="20"/>
          <w:szCs w:val="20"/>
        </w:rPr>
        <w:t xml:space="preserve">. In conclusion, </w:t>
      </w:r>
      <w:r w:rsidR="00C741A6" w:rsidRPr="00C741A6">
        <w:rPr>
          <w:i/>
          <w:iCs/>
          <w:color w:val="000000"/>
          <w:sz w:val="20"/>
          <w:szCs w:val="20"/>
        </w:rPr>
        <w:t>in situ</w:t>
      </w:r>
      <w:r>
        <w:rPr>
          <w:color w:val="000000"/>
          <w:sz w:val="20"/>
          <w:szCs w:val="20"/>
        </w:rPr>
        <w:t xml:space="preserve"> XAS was utili</w:t>
      </w:r>
      <w:r w:rsidR="00006477">
        <w:rPr>
          <w:color w:val="000000"/>
          <w:sz w:val="20"/>
          <w:szCs w:val="20"/>
        </w:rPr>
        <w:t>s</w:t>
      </w:r>
      <w:r>
        <w:rPr>
          <w:color w:val="000000"/>
          <w:sz w:val="20"/>
          <w:szCs w:val="20"/>
        </w:rPr>
        <w:t xml:space="preserve">ed successfully to confirm the phase changes </w:t>
      </w:r>
      <w:r w:rsidR="00C741A6">
        <w:rPr>
          <w:color w:val="000000"/>
          <w:sz w:val="20"/>
          <w:szCs w:val="20"/>
        </w:rPr>
        <w:t>occurring</w:t>
      </w:r>
      <w:r>
        <w:rPr>
          <w:color w:val="000000"/>
          <w:sz w:val="20"/>
          <w:szCs w:val="20"/>
        </w:rPr>
        <w:t xml:space="preserve"> </w:t>
      </w:r>
      <w:r w:rsidR="00C741A6">
        <w:rPr>
          <w:color w:val="000000"/>
          <w:sz w:val="20"/>
          <w:szCs w:val="20"/>
        </w:rPr>
        <w:t>in each</w:t>
      </w:r>
      <w:r>
        <w:rPr>
          <w:color w:val="000000"/>
          <w:sz w:val="20"/>
          <w:szCs w:val="20"/>
        </w:rPr>
        <w:t xml:space="preserve"> catalyst</w:t>
      </w:r>
      <w:r w:rsidR="00C741A6">
        <w:rPr>
          <w:color w:val="000000"/>
          <w:sz w:val="20"/>
          <w:szCs w:val="20"/>
        </w:rPr>
        <w:t>,</w:t>
      </w:r>
      <w:r>
        <w:rPr>
          <w:color w:val="000000"/>
          <w:sz w:val="20"/>
          <w:szCs w:val="20"/>
        </w:rPr>
        <w:t xml:space="preserve"> and to help explain the differences between the catalysts in terms of their catalytic performance</w:t>
      </w:r>
      <w:r w:rsidR="00493E35">
        <w:rPr>
          <w:color w:val="000000"/>
          <w:sz w:val="20"/>
          <w:szCs w:val="20"/>
        </w:rPr>
        <w:t xml:space="preserve"> during CO-PrOx</w:t>
      </w:r>
      <w:r>
        <w:rPr>
          <w:color w:val="000000"/>
          <w:sz w:val="20"/>
          <w:szCs w:val="20"/>
        </w:rPr>
        <w:t>.</w:t>
      </w:r>
    </w:p>
    <w:p w14:paraId="43916A71" w14:textId="77777777" w:rsidR="006F547E" w:rsidRPr="006F547E" w:rsidRDefault="006F547E" w:rsidP="001A1F19">
      <w:pPr>
        <w:autoSpaceDE w:val="0"/>
        <w:autoSpaceDN w:val="0"/>
        <w:adjustRightInd w:val="0"/>
        <w:jc w:val="both"/>
        <w:rPr>
          <w:color w:val="000000"/>
          <w:sz w:val="20"/>
          <w:szCs w:val="20"/>
        </w:rPr>
      </w:pPr>
    </w:p>
    <w:p w14:paraId="3CAD46B2" w14:textId="568C2A5C" w:rsidR="00F9475E" w:rsidRPr="004A7EA4" w:rsidRDefault="008C3BC0" w:rsidP="001A1F19">
      <w:pPr>
        <w:autoSpaceDE w:val="0"/>
        <w:autoSpaceDN w:val="0"/>
        <w:adjustRightInd w:val="0"/>
        <w:jc w:val="center"/>
        <w:rPr>
          <w:color w:val="000000"/>
          <w:sz w:val="20"/>
          <w:szCs w:val="20"/>
        </w:rPr>
      </w:pPr>
      <w:r>
        <w:rPr>
          <w:noProof/>
          <w:color w:val="000000"/>
          <w:sz w:val="16"/>
          <w:szCs w:val="16"/>
        </w:rPr>
        <mc:AlternateContent>
          <mc:Choice Requires="wps">
            <w:drawing>
              <wp:anchor distT="0" distB="0" distL="114300" distR="114300" simplePos="0" relativeHeight="251658240" behindDoc="0" locked="0" layoutInCell="1" allowOverlap="1" wp14:anchorId="32D4B19D" wp14:editId="6AD33B09">
                <wp:simplePos x="0" y="0"/>
                <wp:positionH relativeFrom="column">
                  <wp:posOffset>-24130</wp:posOffset>
                </wp:positionH>
                <wp:positionV relativeFrom="paragraph">
                  <wp:posOffset>2526665</wp:posOffset>
                </wp:positionV>
                <wp:extent cx="2766060" cy="340995"/>
                <wp:effectExtent l="0" t="0" r="15240" b="2095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340995"/>
                        </a:xfrm>
                        <a:prstGeom prst="rect">
                          <a:avLst/>
                        </a:prstGeom>
                        <a:solidFill>
                          <a:srgbClr val="FFFFFF"/>
                        </a:solidFill>
                        <a:ln w="9525">
                          <a:solidFill>
                            <a:srgbClr val="FFFFFF"/>
                          </a:solidFill>
                          <a:miter lim="800000"/>
                          <a:headEnd/>
                          <a:tailEnd/>
                        </a:ln>
                      </wps:spPr>
                      <wps:txbx>
                        <w:txbxContent>
                          <w:p w14:paraId="0277CEE0" w14:textId="5B1F41C1" w:rsidR="006F547E" w:rsidRPr="006A47BF" w:rsidRDefault="006F547E" w:rsidP="006F547E">
                            <w:pPr>
                              <w:pStyle w:val="Caption"/>
                              <w:jc w:val="center"/>
                              <w:rPr>
                                <w:color w:val="000000"/>
                              </w:rPr>
                            </w:pPr>
                            <w:r>
                              <w:rPr>
                                <w:b w:val="0"/>
                                <w:sz w:val="16"/>
                                <w:szCs w:val="16"/>
                              </w:rPr>
                              <w:t>Fig.</w:t>
                            </w:r>
                            <w:r w:rsidRPr="00214CB1">
                              <w:rPr>
                                <w:b w:val="0"/>
                                <w:sz w:val="16"/>
                                <w:szCs w:val="16"/>
                              </w:rPr>
                              <w:t xml:space="preserve"> </w:t>
                            </w:r>
                            <w:r w:rsidR="006D7D5F" w:rsidRPr="00214CB1">
                              <w:rPr>
                                <w:b w:val="0"/>
                                <w:sz w:val="16"/>
                                <w:szCs w:val="16"/>
                              </w:rPr>
                              <w:fldChar w:fldCharType="begin"/>
                            </w:r>
                            <w:r w:rsidRPr="00214CB1">
                              <w:rPr>
                                <w:b w:val="0"/>
                                <w:sz w:val="16"/>
                                <w:szCs w:val="16"/>
                              </w:rPr>
                              <w:instrText xml:space="preserve"> SEQ Figure \* ARABIC </w:instrText>
                            </w:r>
                            <w:r w:rsidR="006D7D5F" w:rsidRPr="00214CB1">
                              <w:rPr>
                                <w:b w:val="0"/>
                                <w:sz w:val="16"/>
                                <w:szCs w:val="16"/>
                              </w:rPr>
                              <w:fldChar w:fldCharType="separate"/>
                            </w:r>
                            <w:r w:rsidR="00AF0720">
                              <w:rPr>
                                <w:b w:val="0"/>
                                <w:noProof/>
                                <w:sz w:val="16"/>
                                <w:szCs w:val="16"/>
                              </w:rPr>
                              <w:t>1</w:t>
                            </w:r>
                            <w:r w:rsidR="006D7D5F" w:rsidRPr="00214CB1">
                              <w:rPr>
                                <w:b w:val="0"/>
                                <w:sz w:val="16"/>
                                <w:szCs w:val="16"/>
                              </w:rPr>
                              <w:fldChar w:fldCharType="end"/>
                            </w:r>
                            <w:r w:rsidR="00362A56">
                              <w:rPr>
                                <w:b w:val="0"/>
                                <w:sz w:val="16"/>
                                <w:szCs w:val="16"/>
                              </w:rPr>
                              <w:t>:</w:t>
                            </w:r>
                            <w:r w:rsidRPr="00214CB1">
                              <w:rPr>
                                <w:b w:val="0"/>
                                <w:sz w:val="16"/>
                                <w:szCs w:val="16"/>
                              </w:rPr>
                              <w:t xml:space="preserve"> </w:t>
                            </w:r>
                            <w:r w:rsidR="00B45E32">
                              <w:rPr>
                                <w:b w:val="0"/>
                                <w:sz w:val="16"/>
                                <w:szCs w:val="16"/>
                              </w:rPr>
                              <w:t xml:space="preserve">Relative phase concentrations as a function of temperature as detected using </w:t>
                            </w:r>
                            <w:r w:rsidR="00B45E32" w:rsidRPr="00B45E32">
                              <w:rPr>
                                <w:b w:val="0"/>
                                <w:i/>
                                <w:iCs/>
                                <w:sz w:val="16"/>
                                <w:szCs w:val="16"/>
                              </w:rPr>
                              <w:t>in situ</w:t>
                            </w:r>
                            <w:r w:rsidR="00B45E32">
                              <w:rPr>
                                <w:b w:val="0"/>
                                <w:sz w:val="16"/>
                                <w:szCs w:val="16"/>
                              </w:rPr>
                              <w:t xml:space="preserve"> XAS during CO-PrOx</w:t>
                            </w:r>
                            <w:r w:rsidR="00F05EBC">
                              <w:rPr>
                                <w:b w:val="0"/>
                                <w:sz w:val="16"/>
                                <w:szCs w:val="16"/>
                              </w:rPr>
                              <w:t>.</w:t>
                            </w:r>
                          </w:p>
                          <w:p w14:paraId="494808A5" w14:textId="77777777" w:rsidR="006F547E" w:rsidRDefault="006F54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D4B19D" id="_x0000_t202" coordsize="21600,21600" o:spt="202" path="m,l,21600r21600,l21600,xe">
                <v:stroke joinstyle="miter"/>
                <v:path gradientshapeok="t" o:connecttype="rect"/>
              </v:shapetype>
              <v:shape id="Text Box 23" o:spid="_x0000_s1026" type="#_x0000_t202" style="position:absolute;left:0;text-align:left;margin-left:-1.9pt;margin-top:198.95pt;width:217.8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" strokecolor="white">
                <v:textbox>
                  <w:txbxContent>
                    <w:p w14:paraId="0277CEE0" w14:textId="5B1F41C1" w:rsidR="006F547E" w:rsidRPr="006A47BF" w:rsidRDefault="006F547E" w:rsidP="006F547E">
                      <w:pPr>
                        <w:pStyle w:val="Caption"/>
                        <w:jc w:val="center"/>
                        <w:rPr>
                          <w:color w:val="000000"/>
                        </w:rPr>
                      </w:pPr>
                      <w:r>
                        <w:rPr>
                          <w:b w:val="0"/>
                          <w:sz w:val="16"/>
                          <w:szCs w:val="16"/>
                        </w:rPr>
                        <w:t>Fig.</w:t>
                      </w:r>
                      <w:r w:rsidRPr="00214CB1">
                        <w:rPr>
                          <w:b w:val="0"/>
                          <w:sz w:val="16"/>
                          <w:szCs w:val="16"/>
                        </w:rPr>
                        <w:t xml:space="preserve"> </w:t>
                      </w:r>
                      <w:r w:rsidR="006D7D5F" w:rsidRPr="00214CB1">
                        <w:rPr>
                          <w:b w:val="0"/>
                          <w:sz w:val="16"/>
                          <w:szCs w:val="16"/>
                        </w:rPr>
                        <w:fldChar w:fldCharType="begin"/>
                      </w:r>
                      <w:r w:rsidRPr="00214CB1">
                        <w:rPr>
                          <w:b w:val="0"/>
                          <w:sz w:val="16"/>
                          <w:szCs w:val="16"/>
                        </w:rPr>
                        <w:instrText xml:space="preserve"> SEQ Figure \* ARABIC </w:instrText>
                      </w:r>
                      <w:r w:rsidR="006D7D5F" w:rsidRPr="00214CB1">
                        <w:rPr>
                          <w:b w:val="0"/>
                          <w:sz w:val="16"/>
                          <w:szCs w:val="16"/>
                        </w:rPr>
                        <w:fldChar w:fldCharType="separate"/>
                      </w:r>
                      <w:r w:rsidR="00AF0720">
                        <w:rPr>
                          <w:b w:val="0"/>
                          <w:noProof/>
                          <w:sz w:val="16"/>
                          <w:szCs w:val="16"/>
                        </w:rPr>
                        <w:t>1</w:t>
                      </w:r>
                      <w:r w:rsidR="006D7D5F" w:rsidRPr="00214CB1">
                        <w:rPr>
                          <w:b w:val="0"/>
                          <w:sz w:val="16"/>
                          <w:szCs w:val="16"/>
                        </w:rPr>
                        <w:fldChar w:fldCharType="end"/>
                      </w:r>
                      <w:r w:rsidR="00362A56">
                        <w:rPr>
                          <w:b w:val="0"/>
                          <w:sz w:val="16"/>
                          <w:szCs w:val="16"/>
                        </w:rPr>
                        <w:t>:</w:t>
                      </w:r>
                      <w:r w:rsidRPr="00214CB1">
                        <w:rPr>
                          <w:b w:val="0"/>
                          <w:sz w:val="16"/>
                          <w:szCs w:val="16"/>
                        </w:rPr>
                        <w:t xml:space="preserve"> </w:t>
                      </w:r>
                      <w:r w:rsidR="00B45E32">
                        <w:rPr>
                          <w:b w:val="0"/>
                          <w:sz w:val="16"/>
                          <w:szCs w:val="16"/>
                        </w:rPr>
                        <w:t xml:space="preserve">Relative phase concentrations as a function of temperature as detected using </w:t>
                      </w:r>
                      <w:r w:rsidR="00B45E32" w:rsidRPr="00B45E32">
                        <w:rPr>
                          <w:b w:val="0"/>
                          <w:i/>
                          <w:iCs/>
                          <w:sz w:val="16"/>
                          <w:szCs w:val="16"/>
                        </w:rPr>
                        <w:t>in situ</w:t>
                      </w:r>
                      <w:r w:rsidR="00B45E32">
                        <w:rPr>
                          <w:b w:val="0"/>
                          <w:sz w:val="16"/>
                          <w:szCs w:val="16"/>
                        </w:rPr>
                        <w:t xml:space="preserve"> XAS during CO-</w:t>
                      </w:r>
                      <w:proofErr w:type="spellStart"/>
                      <w:r w:rsidR="00B45E32">
                        <w:rPr>
                          <w:b w:val="0"/>
                          <w:sz w:val="16"/>
                          <w:szCs w:val="16"/>
                        </w:rPr>
                        <w:t>PrOx</w:t>
                      </w:r>
                      <w:r w:rsidR="00F05EBC">
                        <w:rPr>
                          <w:b w:val="0"/>
                          <w:sz w:val="16"/>
                          <w:szCs w:val="16"/>
                        </w:rPr>
                        <w:t>.</w:t>
                      </w:r>
                      <w:proofErr w:type="spellEnd"/>
                    </w:p>
                    <w:p w14:paraId="494808A5" w14:textId="77777777" w:rsidR="006F547E" w:rsidRDefault="006F547E"/>
                  </w:txbxContent>
                </v:textbox>
              </v:shape>
            </w:pict>
          </mc:Fallback>
        </mc:AlternateContent>
      </w:r>
      <w:r w:rsidR="00023038">
        <w:rPr>
          <w:noProof/>
          <w:color w:val="000000"/>
          <w:sz w:val="20"/>
          <w:szCs w:val="20"/>
        </w:rPr>
        <w:drawing>
          <wp:inline distT="0" distB="0" distL="0" distR="0" wp14:anchorId="28B4B5B6" wp14:editId="20C21BE4">
            <wp:extent cx="1855109" cy="2523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5109" cy="2523600"/>
                    </a:xfrm>
                    <a:prstGeom prst="rect">
                      <a:avLst/>
                    </a:prstGeom>
                    <a:noFill/>
                  </pic:spPr>
                </pic:pic>
              </a:graphicData>
            </a:graphic>
          </wp:inline>
        </w:drawing>
      </w:r>
      <w:r w:rsidR="00020AF4">
        <w:rPr>
          <w:color w:val="000000"/>
          <w:sz w:val="20"/>
          <w:szCs w:val="20"/>
        </w:rPr>
        <w:t xml:space="preserve">       </w:t>
      </w:r>
      <w:r w:rsidR="00761FAC">
        <w:rPr>
          <w:color w:val="000000"/>
          <w:sz w:val="20"/>
          <w:szCs w:val="20"/>
        </w:rPr>
        <w:t xml:space="preserve">                 </w:t>
      </w:r>
      <w:r w:rsidR="00020AF4">
        <w:rPr>
          <w:color w:val="000000"/>
          <w:sz w:val="20"/>
          <w:szCs w:val="20"/>
        </w:rPr>
        <w:t xml:space="preserve">         </w:t>
      </w:r>
      <w:r w:rsidR="00173171">
        <w:rPr>
          <w:noProof/>
          <w:color w:val="000000"/>
          <w:sz w:val="20"/>
          <w:szCs w:val="20"/>
        </w:rPr>
        <w:drawing>
          <wp:inline distT="0" distB="0" distL="0" distR="0" wp14:anchorId="6E9B116A" wp14:editId="00962C8D">
            <wp:extent cx="1984515" cy="2520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4515" cy="2520000"/>
                    </a:xfrm>
                    <a:prstGeom prst="rect">
                      <a:avLst/>
                    </a:prstGeom>
                    <a:noFill/>
                  </pic:spPr>
                </pic:pic>
              </a:graphicData>
            </a:graphic>
          </wp:inline>
        </w:drawing>
      </w:r>
    </w:p>
    <w:p w14:paraId="5E7DE5BE" w14:textId="3080C180" w:rsidR="00365D1F" w:rsidRDefault="00023038" w:rsidP="00365D1F">
      <w:pPr>
        <w:autoSpaceDE w:val="0"/>
        <w:autoSpaceDN w:val="0"/>
        <w:adjustRightInd w:val="0"/>
        <w:rPr>
          <w:b/>
          <w:color w:val="000000"/>
          <w:sz w:val="20"/>
          <w:szCs w:val="20"/>
        </w:rPr>
      </w:pPr>
      <w:r>
        <w:rPr>
          <w:b/>
          <w:noProof/>
          <w:color w:val="000000"/>
          <w:sz w:val="20"/>
          <w:szCs w:val="20"/>
        </w:rPr>
        <mc:AlternateContent>
          <mc:Choice Requires="wps">
            <w:drawing>
              <wp:anchor distT="0" distB="0" distL="114300" distR="114300" simplePos="0" relativeHeight="251657216" behindDoc="0" locked="0" layoutInCell="1" allowOverlap="1" wp14:anchorId="1BC0143A" wp14:editId="4DCCB9C3">
                <wp:simplePos x="0" y="0"/>
                <wp:positionH relativeFrom="column">
                  <wp:posOffset>3291469</wp:posOffset>
                </wp:positionH>
                <wp:positionV relativeFrom="paragraph">
                  <wp:posOffset>13335</wp:posOffset>
                </wp:positionV>
                <wp:extent cx="2011680" cy="340995"/>
                <wp:effectExtent l="0" t="0" r="26670" b="20955"/>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340995"/>
                        </a:xfrm>
                        <a:prstGeom prst="rect">
                          <a:avLst/>
                        </a:prstGeom>
                        <a:solidFill>
                          <a:srgbClr val="FFFFFF"/>
                        </a:solidFill>
                        <a:ln w="9525">
                          <a:solidFill>
                            <a:srgbClr val="FFFFFF"/>
                          </a:solidFill>
                          <a:miter lim="800000"/>
                          <a:headEnd/>
                          <a:tailEnd/>
                        </a:ln>
                      </wps:spPr>
                      <wps:txbx>
                        <w:txbxContent>
                          <w:p w14:paraId="24AEA4E3" w14:textId="7A42EA69" w:rsidR="0091651E" w:rsidRPr="00E370F4" w:rsidRDefault="0091651E" w:rsidP="0091651E">
                            <w:pPr>
                              <w:jc w:val="center"/>
                              <w:rPr>
                                <w:sz w:val="16"/>
                                <w:szCs w:val="16"/>
                              </w:rPr>
                            </w:pPr>
                            <w:r>
                              <w:rPr>
                                <w:sz w:val="16"/>
                                <w:szCs w:val="16"/>
                              </w:rPr>
                              <w:t xml:space="preserve">Fig. </w:t>
                            </w:r>
                            <w:r w:rsidR="00214CB1">
                              <w:rPr>
                                <w:sz w:val="16"/>
                                <w:szCs w:val="16"/>
                              </w:rPr>
                              <w:t>2</w:t>
                            </w:r>
                            <w:r w:rsidR="00362A56">
                              <w:rPr>
                                <w:sz w:val="16"/>
                                <w:szCs w:val="16"/>
                              </w:rPr>
                              <w:t>:</w:t>
                            </w:r>
                            <w:r w:rsidR="00214CB1">
                              <w:rPr>
                                <w:sz w:val="16"/>
                                <w:szCs w:val="16"/>
                              </w:rPr>
                              <w:t xml:space="preserve"> </w:t>
                            </w:r>
                            <w:r w:rsidR="00B45E32">
                              <w:rPr>
                                <w:sz w:val="16"/>
                                <w:szCs w:val="16"/>
                              </w:rPr>
                              <w:t xml:space="preserve">Outlet flow </w:t>
                            </w:r>
                            <w:r w:rsidR="00231383">
                              <w:rPr>
                                <w:sz w:val="16"/>
                                <w:szCs w:val="16"/>
                              </w:rPr>
                              <w:t xml:space="preserve">rates </w:t>
                            </w:r>
                            <w:r w:rsidR="00B45E32">
                              <w:rPr>
                                <w:sz w:val="16"/>
                                <w:szCs w:val="16"/>
                              </w:rPr>
                              <w:t>of CO</w:t>
                            </w:r>
                            <w:r w:rsidR="00B45E32" w:rsidRPr="00B45E32">
                              <w:rPr>
                                <w:sz w:val="16"/>
                                <w:szCs w:val="16"/>
                                <w:vertAlign w:val="subscript"/>
                              </w:rPr>
                              <w:t>2</w:t>
                            </w:r>
                            <w:r w:rsidR="00B45E32">
                              <w:rPr>
                                <w:sz w:val="16"/>
                                <w:szCs w:val="16"/>
                              </w:rPr>
                              <w:t xml:space="preserve"> and CH</w:t>
                            </w:r>
                            <w:r w:rsidR="00B45E32" w:rsidRPr="00B45E32">
                              <w:rPr>
                                <w:sz w:val="16"/>
                                <w:szCs w:val="16"/>
                                <w:vertAlign w:val="subscript"/>
                              </w:rPr>
                              <w:t>4</w:t>
                            </w:r>
                            <w:r w:rsidR="00B45E32">
                              <w:rPr>
                                <w:sz w:val="16"/>
                                <w:szCs w:val="16"/>
                              </w:rPr>
                              <w:t xml:space="preserve"> as a function of temperature during CO-PrOx.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C0143A" id="Text Box 19" o:spid="_x0000_s1027" type="#_x0000_t202" style="position:absolute;margin-left:259.15pt;margin-top:1.05pt;width:158.4pt;height:2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" strokecolor="white">
                <v:textbox>
                  <w:txbxContent>
                    <w:p w14:paraId="24AEA4E3" w14:textId="7A42EA69" w:rsidR="0091651E" w:rsidRPr="00E370F4" w:rsidRDefault="0091651E" w:rsidP="0091651E">
                      <w:pPr>
                        <w:jc w:val="center"/>
                        <w:rPr>
                          <w:sz w:val="16"/>
                          <w:szCs w:val="16"/>
                        </w:rPr>
                      </w:pPr>
                      <w:r>
                        <w:rPr>
                          <w:sz w:val="16"/>
                          <w:szCs w:val="16"/>
                        </w:rPr>
                        <w:t xml:space="preserve">Fig. </w:t>
                      </w:r>
                      <w:r w:rsidR="00214CB1">
                        <w:rPr>
                          <w:sz w:val="16"/>
                          <w:szCs w:val="16"/>
                        </w:rPr>
                        <w:t>2</w:t>
                      </w:r>
                      <w:r w:rsidR="00362A56">
                        <w:rPr>
                          <w:sz w:val="16"/>
                          <w:szCs w:val="16"/>
                        </w:rPr>
                        <w:t>:</w:t>
                      </w:r>
                      <w:r w:rsidR="00214CB1">
                        <w:rPr>
                          <w:sz w:val="16"/>
                          <w:szCs w:val="16"/>
                        </w:rPr>
                        <w:t xml:space="preserve"> </w:t>
                      </w:r>
                      <w:r w:rsidR="00B45E32">
                        <w:rPr>
                          <w:sz w:val="16"/>
                          <w:szCs w:val="16"/>
                        </w:rPr>
                        <w:t xml:space="preserve">Outlet flow </w:t>
                      </w:r>
                      <w:r w:rsidR="00231383">
                        <w:rPr>
                          <w:sz w:val="16"/>
                          <w:szCs w:val="16"/>
                        </w:rPr>
                        <w:t xml:space="preserve">rates </w:t>
                      </w:r>
                      <w:r w:rsidR="00B45E32">
                        <w:rPr>
                          <w:sz w:val="16"/>
                          <w:szCs w:val="16"/>
                        </w:rPr>
                        <w:t>of CO</w:t>
                      </w:r>
                      <w:r w:rsidR="00B45E32" w:rsidRPr="00B45E32">
                        <w:rPr>
                          <w:sz w:val="16"/>
                          <w:szCs w:val="16"/>
                          <w:vertAlign w:val="subscript"/>
                        </w:rPr>
                        <w:t>2</w:t>
                      </w:r>
                      <w:r w:rsidR="00B45E32">
                        <w:rPr>
                          <w:sz w:val="16"/>
                          <w:szCs w:val="16"/>
                        </w:rPr>
                        <w:t xml:space="preserve"> and CH</w:t>
                      </w:r>
                      <w:r w:rsidR="00B45E32" w:rsidRPr="00B45E32">
                        <w:rPr>
                          <w:sz w:val="16"/>
                          <w:szCs w:val="16"/>
                          <w:vertAlign w:val="subscript"/>
                        </w:rPr>
                        <w:t>4</w:t>
                      </w:r>
                      <w:r w:rsidR="00B45E32">
                        <w:rPr>
                          <w:sz w:val="16"/>
                          <w:szCs w:val="16"/>
                        </w:rPr>
                        <w:t xml:space="preserve"> as a function of temperature during CO-</w:t>
                      </w:r>
                      <w:proofErr w:type="spellStart"/>
                      <w:r w:rsidR="00B45E32">
                        <w:rPr>
                          <w:sz w:val="16"/>
                          <w:szCs w:val="16"/>
                        </w:rPr>
                        <w:t>PrOx.</w:t>
                      </w:r>
                      <w:proofErr w:type="spellEnd"/>
                    </w:p>
                  </w:txbxContent>
                </v:textbox>
              </v:shape>
            </w:pict>
          </mc:Fallback>
        </mc:AlternateContent>
      </w:r>
    </w:p>
    <w:p w14:paraId="1EE38404" w14:textId="77777777" w:rsidR="00E370F4" w:rsidRDefault="00E370F4" w:rsidP="00365D1F">
      <w:pPr>
        <w:autoSpaceDE w:val="0"/>
        <w:autoSpaceDN w:val="0"/>
        <w:adjustRightInd w:val="0"/>
        <w:rPr>
          <w:b/>
          <w:color w:val="000000"/>
          <w:sz w:val="20"/>
          <w:szCs w:val="20"/>
        </w:rPr>
      </w:pPr>
    </w:p>
    <w:p w14:paraId="1E41122D" w14:textId="77777777" w:rsidR="005119A3" w:rsidRDefault="005119A3" w:rsidP="00160B67">
      <w:pPr>
        <w:autoSpaceDE w:val="0"/>
        <w:autoSpaceDN w:val="0"/>
        <w:adjustRightInd w:val="0"/>
        <w:rPr>
          <w:color w:val="000000"/>
          <w:sz w:val="20"/>
          <w:szCs w:val="20"/>
        </w:rPr>
      </w:pPr>
    </w:p>
    <w:p w14:paraId="41631753" w14:textId="77777777" w:rsidR="00160B67" w:rsidRDefault="00914CA2" w:rsidP="00160B67">
      <w:pPr>
        <w:autoSpaceDE w:val="0"/>
        <w:autoSpaceDN w:val="0"/>
        <w:adjustRightInd w:val="0"/>
        <w:rPr>
          <w:b/>
          <w:bCs/>
          <w:color w:val="000000"/>
          <w:sz w:val="20"/>
          <w:szCs w:val="20"/>
        </w:rPr>
      </w:pPr>
      <w:r>
        <w:rPr>
          <w:b/>
          <w:bCs/>
          <w:color w:val="000000"/>
          <w:sz w:val="20"/>
          <w:szCs w:val="20"/>
        </w:rPr>
        <w:t>3</w:t>
      </w:r>
      <w:r w:rsidR="00160B67">
        <w:rPr>
          <w:b/>
          <w:bCs/>
          <w:color w:val="000000"/>
          <w:sz w:val="20"/>
          <w:szCs w:val="20"/>
        </w:rPr>
        <w:t>. References</w:t>
      </w:r>
    </w:p>
    <w:p w14:paraId="11828FDD" w14:textId="3B7614EE" w:rsidR="00160B67" w:rsidRDefault="00160B67" w:rsidP="00160B67">
      <w:pPr>
        <w:autoSpaceDE w:val="0"/>
        <w:autoSpaceDN w:val="0"/>
        <w:adjustRightInd w:val="0"/>
        <w:rPr>
          <w:color w:val="000000"/>
          <w:sz w:val="20"/>
          <w:szCs w:val="20"/>
        </w:rPr>
      </w:pPr>
    </w:p>
    <w:p w14:paraId="1F28F924" w14:textId="59E65626" w:rsidR="00616E2B" w:rsidRDefault="0085081F" w:rsidP="002A643F">
      <w:pPr>
        <w:widowControl w:val="0"/>
        <w:autoSpaceDE w:val="0"/>
        <w:autoSpaceDN w:val="0"/>
        <w:adjustRightInd w:val="0"/>
        <w:ind w:left="345" w:hanging="345"/>
        <w:rPr>
          <w:color w:val="000000"/>
          <w:sz w:val="16"/>
          <w:szCs w:val="16"/>
        </w:rPr>
      </w:pPr>
      <w:r w:rsidRPr="0085081F">
        <w:rPr>
          <w:color w:val="000000"/>
          <w:sz w:val="16"/>
          <w:szCs w:val="16"/>
        </w:rPr>
        <w:fldChar w:fldCharType="begin" w:fldLock="1"/>
      </w:r>
      <w:r w:rsidRPr="0085081F">
        <w:rPr>
          <w:color w:val="000000"/>
          <w:sz w:val="16"/>
          <w:szCs w:val="16"/>
        </w:rPr>
        <w:instrText xml:space="preserve">ADDIN Mendeley Bibliography CSL_BIBLIOGRAPHY </w:instrText>
      </w:r>
      <w:r w:rsidRPr="0085081F">
        <w:rPr>
          <w:color w:val="000000"/>
          <w:sz w:val="16"/>
          <w:szCs w:val="16"/>
        </w:rPr>
        <w:fldChar w:fldCharType="separate"/>
      </w:r>
      <w:r w:rsidR="003A56A2" w:rsidRPr="003A56A2">
        <w:rPr>
          <w:noProof/>
          <w:sz w:val="16"/>
        </w:rPr>
        <w:t>[1]</w:t>
      </w:r>
      <w:r w:rsidR="003A56A2" w:rsidRPr="003A56A2">
        <w:rPr>
          <w:noProof/>
          <w:sz w:val="16"/>
        </w:rPr>
        <w:tab/>
        <w:t>T.M. Nyathi, N. Fischer, A.P.E. York, D.J. Morgan, G.J. Hutchings, E.K. Gibson, P.P. Wells, C.R.A. Catlow</w:t>
      </w:r>
      <w:r w:rsidR="003A56A2">
        <w:rPr>
          <w:noProof/>
          <w:sz w:val="16"/>
        </w:rPr>
        <w:t xml:space="preserve"> and</w:t>
      </w:r>
      <w:r w:rsidR="003A56A2" w:rsidRPr="003A56A2">
        <w:rPr>
          <w:noProof/>
          <w:sz w:val="16"/>
        </w:rPr>
        <w:t xml:space="preserve"> M. Claeys</w:t>
      </w:r>
      <w:r w:rsidR="003A56A2">
        <w:rPr>
          <w:noProof/>
          <w:sz w:val="16"/>
        </w:rPr>
        <w:t>.</w:t>
      </w:r>
      <w:r w:rsidR="003A56A2" w:rsidRPr="003A56A2">
        <w:rPr>
          <w:noProof/>
          <w:sz w:val="16"/>
        </w:rPr>
        <w:t xml:space="preserve"> </w:t>
      </w:r>
      <w:r w:rsidR="003A56A2" w:rsidRPr="003A56A2">
        <w:rPr>
          <w:i/>
          <w:iCs/>
          <w:noProof/>
          <w:sz w:val="16"/>
        </w:rPr>
        <w:t>ACS Catal</w:t>
      </w:r>
      <w:r w:rsidR="003A56A2" w:rsidRPr="003A56A2">
        <w:rPr>
          <w:noProof/>
          <w:sz w:val="16"/>
        </w:rPr>
        <w:t xml:space="preserve">. </w:t>
      </w:r>
      <w:r w:rsidR="003A56A2" w:rsidRPr="003A56A2">
        <w:rPr>
          <w:b/>
          <w:bCs/>
          <w:noProof/>
          <w:sz w:val="16"/>
        </w:rPr>
        <w:t>9</w:t>
      </w:r>
      <w:r w:rsidR="003A56A2" w:rsidRPr="003A56A2">
        <w:rPr>
          <w:noProof/>
          <w:sz w:val="16"/>
        </w:rPr>
        <w:t xml:space="preserve"> (2019) 7166</w:t>
      </w:r>
      <w:r w:rsidR="003A56A2">
        <w:rPr>
          <w:noProof/>
          <w:sz w:val="16"/>
        </w:rPr>
        <w:t>.</w:t>
      </w:r>
      <w:r w:rsidRPr="0085081F">
        <w:rPr>
          <w:color w:val="000000"/>
          <w:sz w:val="16"/>
          <w:szCs w:val="16"/>
        </w:rPr>
        <w:fldChar w:fldCharType="end"/>
      </w:r>
    </w:p>
    <w:sectPr w:rsidR="00616E2B" w:rsidSect="00EF28F5">
      <w:pgSz w:w="11907" w:h="16840" w:code="9"/>
      <w:pgMar w:top="1418" w:right="1418" w:bottom="1418"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AF4"/>
    <w:rsid w:val="00006477"/>
    <w:rsid w:val="000154C3"/>
    <w:rsid w:val="00020AF4"/>
    <w:rsid w:val="00021545"/>
    <w:rsid w:val="00023038"/>
    <w:rsid w:val="0002442D"/>
    <w:rsid w:val="00073907"/>
    <w:rsid w:val="00081941"/>
    <w:rsid w:val="000A1C1A"/>
    <w:rsid w:val="000A3F1F"/>
    <w:rsid w:val="000A7E8F"/>
    <w:rsid w:val="000C6ACD"/>
    <w:rsid w:val="000F516B"/>
    <w:rsid w:val="00115D34"/>
    <w:rsid w:val="00115E33"/>
    <w:rsid w:val="001505C1"/>
    <w:rsid w:val="00160B67"/>
    <w:rsid w:val="00171717"/>
    <w:rsid w:val="00173171"/>
    <w:rsid w:val="00193077"/>
    <w:rsid w:val="001944CC"/>
    <w:rsid w:val="001A0E1E"/>
    <w:rsid w:val="001A1F19"/>
    <w:rsid w:val="001C7522"/>
    <w:rsid w:val="00206516"/>
    <w:rsid w:val="00214CB1"/>
    <w:rsid w:val="00231383"/>
    <w:rsid w:val="00260E0F"/>
    <w:rsid w:val="00281AC7"/>
    <w:rsid w:val="00282A19"/>
    <w:rsid w:val="002A4557"/>
    <w:rsid w:val="002A643F"/>
    <w:rsid w:val="002B59F9"/>
    <w:rsid w:val="002E1C7D"/>
    <w:rsid w:val="002F0D3A"/>
    <w:rsid w:val="003128CE"/>
    <w:rsid w:val="00330AD5"/>
    <w:rsid w:val="003319B1"/>
    <w:rsid w:val="00345231"/>
    <w:rsid w:val="00362A56"/>
    <w:rsid w:val="00365D1F"/>
    <w:rsid w:val="0039050A"/>
    <w:rsid w:val="003A1C56"/>
    <w:rsid w:val="003A56A2"/>
    <w:rsid w:val="003B24E5"/>
    <w:rsid w:val="003B434C"/>
    <w:rsid w:val="003B47AD"/>
    <w:rsid w:val="003C00DF"/>
    <w:rsid w:val="003C6C04"/>
    <w:rsid w:val="003E79A0"/>
    <w:rsid w:val="003F416C"/>
    <w:rsid w:val="003F716F"/>
    <w:rsid w:val="00425697"/>
    <w:rsid w:val="0043390C"/>
    <w:rsid w:val="004517EF"/>
    <w:rsid w:val="00481962"/>
    <w:rsid w:val="0048400A"/>
    <w:rsid w:val="00493E35"/>
    <w:rsid w:val="00495592"/>
    <w:rsid w:val="004A7599"/>
    <w:rsid w:val="004A7EA4"/>
    <w:rsid w:val="004C6B86"/>
    <w:rsid w:val="004E1212"/>
    <w:rsid w:val="004F122A"/>
    <w:rsid w:val="0050043E"/>
    <w:rsid w:val="005119A3"/>
    <w:rsid w:val="00526573"/>
    <w:rsid w:val="00531E90"/>
    <w:rsid w:val="00537409"/>
    <w:rsid w:val="005572AC"/>
    <w:rsid w:val="0056097F"/>
    <w:rsid w:val="00570C5A"/>
    <w:rsid w:val="005733ED"/>
    <w:rsid w:val="0058055C"/>
    <w:rsid w:val="00585008"/>
    <w:rsid w:val="00585811"/>
    <w:rsid w:val="00592806"/>
    <w:rsid w:val="00597512"/>
    <w:rsid w:val="005A234D"/>
    <w:rsid w:val="005A5E39"/>
    <w:rsid w:val="005C5643"/>
    <w:rsid w:val="005E2B22"/>
    <w:rsid w:val="0061068F"/>
    <w:rsid w:val="006148C6"/>
    <w:rsid w:val="00616E2B"/>
    <w:rsid w:val="00625C72"/>
    <w:rsid w:val="00637D5B"/>
    <w:rsid w:val="006411CF"/>
    <w:rsid w:val="0065340D"/>
    <w:rsid w:val="00654B33"/>
    <w:rsid w:val="006A2BFA"/>
    <w:rsid w:val="006A47BF"/>
    <w:rsid w:val="006B5E93"/>
    <w:rsid w:val="006C7E07"/>
    <w:rsid w:val="006D1E65"/>
    <w:rsid w:val="006D78C9"/>
    <w:rsid w:val="006D7D5F"/>
    <w:rsid w:val="006E0DAE"/>
    <w:rsid w:val="006F0472"/>
    <w:rsid w:val="006F2173"/>
    <w:rsid w:val="006F547E"/>
    <w:rsid w:val="00732267"/>
    <w:rsid w:val="00751003"/>
    <w:rsid w:val="00761FAC"/>
    <w:rsid w:val="00762749"/>
    <w:rsid w:val="00763E69"/>
    <w:rsid w:val="007764A0"/>
    <w:rsid w:val="007A0C1C"/>
    <w:rsid w:val="007B1120"/>
    <w:rsid w:val="007C3D78"/>
    <w:rsid w:val="007C65EF"/>
    <w:rsid w:val="007D0FEC"/>
    <w:rsid w:val="007F3F6A"/>
    <w:rsid w:val="007F68C0"/>
    <w:rsid w:val="0080026A"/>
    <w:rsid w:val="008118A6"/>
    <w:rsid w:val="0081245B"/>
    <w:rsid w:val="00825008"/>
    <w:rsid w:val="008258C9"/>
    <w:rsid w:val="00827BB0"/>
    <w:rsid w:val="00832067"/>
    <w:rsid w:val="008357AD"/>
    <w:rsid w:val="00837360"/>
    <w:rsid w:val="00846544"/>
    <w:rsid w:val="008470E6"/>
    <w:rsid w:val="0085081F"/>
    <w:rsid w:val="00863CAE"/>
    <w:rsid w:val="00893BCB"/>
    <w:rsid w:val="0089784D"/>
    <w:rsid w:val="008C3BC0"/>
    <w:rsid w:val="008C61E1"/>
    <w:rsid w:val="008D2E1C"/>
    <w:rsid w:val="008E404F"/>
    <w:rsid w:val="008F6270"/>
    <w:rsid w:val="00914CA2"/>
    <w:rsid w:val="00915C5F"/>
    <w:rsid w:val="0091651E"/>
    <w:rsid w:val="009204FD"/>
    <w:rsid w:val="00931302"/>
    <w:rsid w:val="00935048"/>
    <w:rsid w:val="0094326F"/>
    <w:rsid w:val="00944E21"/>
    <w:rsid w:val="009B425A"/>
    <w:rsid w:val="009C4616"/>
    <w:rsid w:val="009D1122"/>
    <w:rsid w:val="00A011D6"/>
    <w:rsid w:val="00A106DF"/>
    <w:rsid w:val="00A17BE6"/>
    <w:rsid w:val="00A26209"/>
    <w:rsid w:val="00A268A7"/>
    <w:rsid w:val="00A34827"/>
    <w:rsid w:val="00A5510B"/>
    <w:rsid w:val="00A86202"/>
    <w:rsid w:val="00A9295F"/>
    <w:rsid w:val="00A974FA"/>
    <w:rsid w:val="00A976C6"/>
    <w:rsid w:val="00AA1926"/>
    <w:rsid w:val="00AA6303"/>
    <w:rsid w:val="00AC4E85"/>
    <w:rsid w:val="00AD3320"/>
    <w:rsid w:val="00AE349D"/>
    <w:rsid w:val="00AF0720"/>
    <w:rsid w:val="00B06CF8"/>
    <w:rsid w:val="00B3039C"/>
    <w:rsid w:val="00B33DD1"/>
    <w:rsid w:val="00B45E32"/>
    <w:rsid w:val="00B475B8"/>
    <w:rsid w:val="00B509B7"/>
    <w:rsid w:val="00B5553C"/>
    <w:rsid w:val="00B555B7"/>
    <w:rsid w:val="00B66819"/>
    <w:rsid w:val="00B66A4E"/>
    <w:rsid w:val="00B701D3"/>
    <w:rsid w:val="00B810B7"/>
    <w:rsid w:val="00B86D08"/>
    <w:rsid w:val="00B92966"/>
    <w:rsid w:val="00B96BE7"/>
    <w:rsid w:val="00BC2C36"/>
    <w:rsid w:val="00BE279C"/>
    <w:rsid w:val="00BE6574"/>
    <w:rsid w:val="00BF566E"/>
    <w:rsid w:val="00C01D29"/>
    <w:rsid w:val="00C17A65"/>
    <w:rsid w:val="00C5464A"/>
    <w:rsid w:val="00C55098"/>
    <w:rsid w:val="00C57FA4"/>
    <w:rsid w:val="00C67686"/>
    <w:rsid w:val="00C741A6"/>
    <w:rsid w:val="00C761F4"/>
    <w:rsid w:val="00CA69B2"/>
    <w:rsid w:val="00CE52E7"/>
    <w:rsid w:val="00CF4E0E"/>
    <w:rsid w:val="00CF7A91"/>
    <w:rsid w:val="00D076DA"/>
    <w:rsid w:val="00D103DC"/>
    <w:rsid w:val="00D11C1B"/>
    <w:rsid w:val="00D142B8"/>
    <w:rsid w:val="00D3212A"/>
    <w:rsid w:val="00D5298A"/>
    <w:rsid w:val="00D627A6"/>
    <w:rsid w:val="00D85207"/>
    <w:rsid w:val="00D946F6"/>
    <w:rsid w:val="00DA1B2E"/>
    <w:rsid w:val="00DB210F"/>
    <w:rsid w:val="00DB2900"/>
    <w:rsid w:val="00DB290A"/>
    <w:rsid w:val="00DE5C1B"/>
    <w:rsid w:val="00DF5632"/>
    <w:rsid w:val="00E17030"/>
    <w:rsid w:val="00E267CD"/>
    <w:rsid w:val="00E26AAD"/>
    <w:rsid w:val="00E35C64"/>
    <w:rsid w:val="00E370F4"/>
    <w:rsid w:val="00E75D62"/>
    <w:rsid w:val="00E82520"/>
    <w:rsid w:val="00E9391D"/>
    <w:rsid w:val="00EA20C4"/>
    <w:rsid w:val="00EA530A"/>
    <w:rsid w:val="00EF0F96"/>
    <w:rsid w:val="00EF28F5"/>
    <w:rsid w:val="00EF6523"/>
    <w:rsid w:val="00F01F33"/>
    <w:rsid w:val="00F025CA"/>
    <w:rsid w:val="00F05EBC"/>
    <w:rsid w:val="00F13B7F"/>
    <w:rsid w:val="00F20A8D"/>
    <w:rsid w:val="00F27697"/>
    <w:rsid w:val="00F35C76"/>
    <w:rsid w:val="00F6600E"/>
    <w:rsid w:val="00F87CF5"/>
    <w:rsid w:val="00F92304"/>
    <w:rsid w:val="00F9475E"/>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075E51"/>
  <w15:docId w15:val="{AD4F9A9D-57BC-42E9-A71E-113F19C68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1245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basedOn w:val="DefaultParagraphFont"/>
    <w:rsid w:val="00E267CD"/>
    <w:rPr>
      <w:b/>
      <w:bCs/>
      <w:vanish/>
      <w:color w:val="FF0000"/>
      <w:sz w:val="36"/>
      <w:szCs w:val="36"/>
    </w:rPr>
  </w:style>
  <w:style w:type="paragraph" w:customStyle="1" w:styleId="MTDisplayEquation">
    <w:name w:val="MTDisplayEquation"/>
    <w:basedOn w:val="Normal"/>
    <w:next w:val="Normal"/>
    <w:link w:val="MTDisplayEquationChar"/>
    <w:rsid w:val="00E267CD"/>
    <w:pPr>
      <w:tabs>
        <w:tab w:val="center" w:pos="4320"/>
        <w:tab w:val="right" w:pos="8640"/>
      </w:tabs>
      <w:autoSpaceDE w:val="0"/>
      <w:autoSpaceDN w:val="0"/>
      <w:adjustRightInd w:val="0"/>
    </w:pPr>
    <w:rPr>
      <w:color w:val="000000"/>
      <w:sz w:val="20"/>
      <w:szCs w:val="20"/>
    </w:rPr>
  </w:style>
  <w:style w:type="character" w:customStyle="1" w:styleId="MTDisplayEquationChar">
    <w:name w:val="MTDisplayEquation Char"/>
    <w:basedOn w:val="DefaultParagraphFont"/>
    <w:link w:val="MTDisplayEquation"/>
    <w:rsid w:val="00E267CD"/>
    <w:rPr>
      <w:color w:val="000000"/>
      <w:lang w:val="en-US" w:eastAsia="en-US"/>
    </w:rPr>
  </w:style>
  <w:style w:type="character" w:styleId="PlaceholderText">
    <w:name w:val="Placeholder Text"/>
    <w:basedOn w:val="DefaultParagraphFont"/>
    <w:uiPriority w:val="99"/>
    <w:semiHidden/>
    <w:rsid w:val="00A9295F"/>
    <w:rPr>
      <w:color w:val="808080"/>
    </w:rPr>
  </w:style>
  <w:style w:type="paragraph" w:styleId="BalloonText">
    <w:name w:val="Balloon Text"/>
    <w:basedOn w:val="Normal"/>
    <w:link w:val="BalloonTextChar"/>
    <w:rsid w:val="00A9295F"/>
    <w:rPr>
      <w:rFonts w:ascii="Tahoma" w:hAnsi="Tahoma" w:cs="Tahoma"/>
      <w:sz w:val="16"/>
      <w:szCs w:val="16"/>
    </w:rPr>
  </w:style>
  <w:style w:type="character" w:customStyle="1" w:styleId="BalloonTextChar">
    <w:name w:val="Balloon Text Char"/>
    <w:basedOn w:val="DefaultParagraphFont"/>
    <w:link w:val="BalloonText"/>
    <w:rsid w:val="00A9295F"/>
    <w:rPr>
      <w:rFonts w:ascii="Tahoma" w:hAnsi="Tahoma" w:cs="Tahoma"/>
      <w:sz w:val="16"/>
      <w:szCs w:val="16"/>
      <w:lang w:val="en-US" w:eastAsia="en-US"/>
    </w:rPr>
  </w:style>
  <w:style w:type="paragraph" w:styleId="Caption">
    <w:name w:val="caption"/>
    <w:basedOn w:val="Normal"/>
    <w:next w:val="Normal"/>
    <w:qFormat/>
    <w:rsid w:val="003F716F"/>
    <w:rPr>
      <w:b/>
      <w:bCs/>
      <w:sz w:val="20"/>
      <w:szCs w:val="20"/>
    </w:rPr>
  </w:style>
  <w:style w:type="character" w:styleId="Hyperlink">
    <w:name w:val="Hyperlink"/>
    <w:basedOn w:val="DefaultParagraphFont"/>
    <w:rsid w:val="00654B33"/>
    <w:rPr>
      <w:color w:val="0000FF"/>
      <w:u w:val="single"/>
    </w:rPr>
  </w:style>
  <w:style w:type="table" w:styleId="TableGrid">
    <w:name w:val="Table Grid"/>
    <w:basedOn w:val="TableNormal"/>
    <w:rsid w:val="00C01D2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UnresolvedMention">
    <w:name w:val="Unresolved Mention"/>
    <w:basedOn w:val="DefaultParagraphFont"/>
    <w:uiPriority w:val="99"/>
    <w:semiHidden/>
    <w:unhideWhenUsed/>
    <w:rsid w:val="001C7522"/>
    <w:rPr>
      <w:color w:val="605E5C"/>
      <w:shd w:val="clear" w:color="auto" w:fill="E1DFDD"/>
    </w:rPr>
  </w:style>
  <w:style w:type="paragraph" w:styleId="ListParagraph">
    <w:name w:val="List Paragraph"/>
    <w:basedOn w:val="Normal"/>
    <w:uiPriority w:val="34"/>
    <w:qFormat/>
    <w:rsid w:val="00835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chael.claeys@uct.ac.za" TargetMode="External"/><Relationship Id="rId5" Type="http://schemas.openxmlformats.org/officeDocument/2006/relationships/hyperlink" Target="mailto:thulani.nyathi@uct.ac.z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Marketing%20and%20Outreach\SAIP\Conferences\SAIP2010\Template\SAIP2010_defaul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262E-4F87-42F3-9E13-4A87A42F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SAIP2010_default</Template>
  <TotalTime>2806</TotalTime>
  <Pages>1</Pages>
  <Words>1570</Words>
  <Characters>8950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Selective Excitation of a Vibrational Level Within Hexafluoride Molecules with Ultra Short Lasers</vt:lpstr>
    </vt:vector>
  </TitlesOfParts>
  <Company>CSIR</Company>
  <LinksUpToDate>false</LinksUpToDate>
  <CharactersWithSpaces>10500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Selective Excitation of a Vibrational Level Within Hexafluoride Molecules with Ultra Short Lasers</dc:title>
  <dc:subject/>
  <dc:creator>rcbotha</dc:creator>
  <cp:keywords/>
  <cp:lastModifiedBy>Thulani Nyathi</cp:lastModifiedBy>
  <cp:revision>9</cp:revision>
  <cp:lastPrinted>2010-06-23T09:35:00Z</cp:lastPrinted>
  <dcterms:created xsi:type="dcterms:W3CDTF">2021-10-14T15:10:00Z</dcterms:created>
  <dcterms:modified xsi:type="dcterms:W3CDTF">2021-10-17T09:52:00Z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y fmtid="{D5CDD505-2E9C-101B-9397-08002B2CF9AE}" pid="5" name="Mendeley Recent Style Id 0_1">
    <vt:lpwstr>http://www.zotero.org/styles/acs-catalysis</vt:lpwstr>
  </property>
  <property fmtid="{D5CDD505-2E9C-101B-9397-08002B2CF9AE}" pid="6" name="Mendeley Recent Style Name 0_1">
    <vt:lpwstr>ACS Catalysis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 6th edition</vt:lpwstr>
  </property>
  <property fmtid="{D5CDD505-2E9C-101B-9397-08002B2CF9AE}" pid="11" name="Mendeley Recent Style Id 3_1">
    <vt:lpwstr>http://www.zotero.org/styles/applied-catalysis-b-environmental</vt:lpwstr>
  </property>
  <property fmtid="{D5CDD505-2E9C-101B-9397-08002B2CF9AE}" pid="12" name="Mendeley Recent Style Name 3_1">
    <vt:lpwstr>Applied Catalysis B: Environmental</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http://www.zotero.org/styles/journal-of-catalysis</vt:lpwstr>
  </property>
  <property fmtid="{D5CDD505-2E9C-101B-9397-08002B2CF9AE}" pid="20" name="Mendeley Recent Style Name 7_1">
    <vt:lpwstr>Journal of Catalysis</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y fmtid="{D5CDD505-2E9C-101B-9397-08002B2CF9AE}" pid="25" name="Mendeley Document_1">
    <vt:lpwstr>True</vt:lpwstr>
  </property>
  <property fmtid="{D5CDD505-2E9C-101B-9397-08002B2CF9AE}" pid="26" name="Mendeley Citation Style_1">
    <vt:lpwstr>http://www.zotero.org/styles/applied-catalysis-b-environmental</vt:lpwstr>
  </property>
  <property fmtid="{D5CDD505-2E9C-101B-9397-08002B2CF9AE}" pid="27" name="Mendeley Unique User Id_1">
    <vt:lpwstr>dd33574a-8345-3f2b-a0a0-c068600d6bec</vt:lpwstr>
  </property>
</Properties>
</file>