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szCs w:val="28"/>
        </w:rPr>
      </w:pPr>
      <w:r>
        <w:rPr>
          <w:b/>
          <w:bCs/>
          <w:color w:val="000000"/>
          <w:sz w:val="36"/>
          <w:szCs w:val="36"/>
        </w:rPr>
        <w:fldChar w:fldCharType="begin"/>
      </w:r>
      <w:r>
        <w:rPr>
          <w:sz w:val="36"/>
          <w:b/>
          <w:szCs w:val="36"/>
          <w:bCs/>
          <w:color w:val="000000"/>
        </w:rPr>
        <w:instrText> SEQ MTEqn \* ARABIC </w:instrText>
      </w:r>
      <w:r>
        <w:rPr>
          <w:sz w:val="36"/>
          <w:b/>
          <w:szCs w:val="36"/>
          <w:bCs/>
          <w:color w:val="000000"/>
        </w:rPr>
        <w:fldChar w:fldCharType="separate"/>
      </w:r>
      <w:r>
        <w:rPr>
          <w:sz w:val="36"/>
          <w:b/>
          <w:szCs w:val="36"/>
          <w:bCs/>
          <w:color w:val="000000"/>
        </w:rPr>
        <w:t>1</w:t>
      </w:r>
      <w:r>
        <w:rPr>
          <w:sz w:val="36"/>
          <w:b/>
          <w:szCs w:val="36"/>
          <w:bCs/>
          <w:color w:val="000000"/>
        </w:rPr>
        <w:fldChar w:fldCharType="end"/>
      </w:r>
      <w:r>
        <w:rPr>
          <w:b/>
          <w:bCs/>
          <w:color w:val="000000"/>
          <w:sz w:val="36"/>
          <w:szCs w:val="36"/>
        </w:rPr>
        <w:fldChar w:fldCharType="begin"/>
      </w:r>
      <w:r>
        <w:rPr>
          <w:sz w:val="36"/>
          <w:b/>
          <w:szCs w:val="36"/>
          <w:bCs/>
          <w:color w:val="000000"/>
        </w:rPr>
        <w:instrText> SEQ MTSec \* ARABIC </w:instrText>
      </w:r>
      <w:r>
        <w:rPr>
          <w:sz w:val="36"/>
          <w:b/>
          <w:szCs w:val="36"/>
          <w:bCs/>
          <w:color w:val="000000"/>
        </w:rPr>
        <w:fldChar w:fldCharType="separate"/>
      </w:r>
      <w:r>
        <w:rPr>
          <w:sz w:val="36"/>
          <w:b/>
          <w:szCs w:val="36"/>
          <w:bCs/>
          <w:color w:val="000000"/>
        </w:rPr>
        <w:t>1</w:t>
      </w:r>
      <w:r>
        <w:rPr>
          <w:sz w:val="36"/>
          <w:b/>
          <w:szCs w:val="36"/>
          <w:bCs/>
          <w:color w:val="000000"/>
        </w:rPr>
        <w:fldChar w:fldCharType="end"/>
      </w:r>
      <w:r>
        <w:rPr>
          <w:b/>
          <w:bCs/>
          <w:color w:val="000000"/>
          <w:sz w:val="36"/>
          <w:szCs w:val="36"/>
        </w:rPr>
        <w:fldChar w:fldCharType="begin"/>
      </w:r>
      <w:r>
        <w:rPr>
          <w:sz w:val="36"/>
          <w:b/>
          <w:szCs w:val="36"/>
          <w:bCs/>
          <w:color w:val="000000"/>
        </w:rPr>
        <w:instrText> SEQ MTChap \* ARABIC </w:instrText>
      </w:r>
      <w:r>
        <w:rPr>
          <w:sz w:val="36"/>
          <w:b/>
          <w:szCs w:val="36"/>
          <w:bCs/>
          <w:color w:val="000000"/>
        </w:rPr>
        <w:fldChar w:fldCharType="separate"/>
      </w:r>
      <w:r>
        <w:rPr>
          <w:sz w:val="36"/>
          <w:b/>
          <w:szCs w:val="36"/>
          <w:bCs/>
          <w:color w:val="000000"/>
        </w:rPr>
        <w:t>1</w:t>
      </w:r>
      <w:r>
        <w:rPr>
          <w:sz w:val="36"/>
          <w:b/>
          <w:szCs w:val="36"/>
          <w:bCs/>
          <w:color w:val="000000"/>
        </w:rPr>
        <w:fldChar w:fldCharType="end"/>
      </w:r>
      <w:r>
        <w:fldChar w:fldCharType="begin"/>
      </w:r>
      <w:r>
        <w:rPr>
          <w:sz w:val="36"/>
          <w:b/>
          <w:szCs w:val="36"/>
          <w:bCs/>
          <w:color w:val="000000"/>
        </w:rPr>
        <w:instrText>MACROBUTTONTEditEquationSection2 Equation Chapter 1 Section 1</w:instrText>
      </w:r>
      <w:r>
        <w:rPr>
          <w:b/>
          <w:bCs/>
          <w:color w:val="000000"/>
          <w:sz w:val="36"/>
          <w:szCs w:val="36"/>
        </w:rPr>
      </w:r>
      <w:r>
        <w:rPr>
          <w:sz w:val="36"/>
          <w:b/>
          <w:szCs w:val="36"/>
          <w:bCs/>
          <w:color w:val="000000"/>
        </w:rPr>
        <w:fldChar w:fldCharType="separate"/>
      </w:r>
      <w:r>
        <w:rPr>
          <w:b/>
          <w:bCs/>
          <w:color w:val="000000"/>
          <w:sz w:val="36"/>
          <w:szCs w:val="36"/>
        </w:rPr>
        <w:t>Equation Chapter 1 Section 1</w:t>
      </w:r>
      <w:r>
        <w:rPr>
          <w:b/>
          <w:bCs/>
          <w:color w:val="000000"/>
          <w:sz w:val="36"/>
          <w:szCs w:val="36"/>
        </w:rPr>
      </w:r>
      <w:r>
        <w:rPr>
          <w:sz w:val="36"/>
          <w:b/>
          <w:szCs w:val="36"/>
          <w:bCs/>
          <w:color w:val="000000"/>
        </w:rPr>
        <w:fldChar w:fldCharType="end"/>
      </w:r>
    </w:p>
    <w:p>
      <w:pPr>
        <w:pStyle w:val="Normal"/>
        <w:jc w:val="center"/>
        <w:rPr>
          <w:b/>
          <w:b/>
          <w:bCs/>
          <w:color w:val="000000"/>
          <w:sz w:val="28"/>
          <w:szCs w:val="28"/>
        </w:rPr>
      </w:pPr>
      <w:r>
        <w:rPr>
          <w:b/>
          <w:bCs/>
          <w:color w:val="000000"/>
          <w:sz w:val="28"/>
          <w:szCs w:val="28"/>
        </w:rPr>
        <w:t xml:space="preserve">How to manage a modern X-ray scattering lab – </w:t>
      </w:r>
      <w:r>
        <w:rPr>
          <w:b/>
          <w:bCs/>
          <w:color w:val="000000"/>
          <w:sz w:val="28"/>
          <w:szCs w:val="28"/>
          <w:lang w:val="en-US" w:eastAsia="en-US"/>
        </w:rPr>
        <w:t xml:space="preserve">a modest </w:t>
      </w:r>
      <w:r>
        <w:rPr>
          <w:b/>
          <w:bCs/>
          <w:color w:val="000000"/>
          <w:sz w:val="28"/>
          <w:szCs w:val="28"/>
        </w:rPr>
        <w:t>example</w:t>
      </w:r>
    </w:p>
    <w:p>
      <w:pPr>
        <w:pStyle w:val="Normal"/>
        <w:jc w:val="center"/>
        <w:rPr>
          <w:b/>
          <w:b/>
          <w:bCs/>
          <w:color w:val="000000"/>
          <w:sz w:val="20"/>
          <w:szCs w:val="20"/>
        </w:rPr>
      </w:pPr>
      <w:r>
        <w:rPr>
          <w:b/>
          <w:bCs/>
          <w:color w:val="000000"/>
          <w:sz w:val="20"/>
          <w:szCs w:val="20"/>
        </w:rPr>
      </w:r>
    </w:p>
    <w:p>
      <w:pPr>
        <w:pStyle w:val="Normal"/>
        <w:jc w:val="center"/>
        <w:rPr>
          <w:b/>
          <w:b/>
          <w:bCs/>
          <w:color w:val="000000"/>
          <w:sz w:val="20"/>
          <w:szCs w:val="20"/>
          <w:vertAlign w:val="superscript"/>
        </w:rPr>
      </w:pPr>
      <w:r>
        <w:rPr>
          <w:b/>
          <w:bCs/>
          <w:color w:val="000000"/>
          <w:sz w:val="20"/>
          <w:szCs w:val="20"/>
          <w:u w:val="single"/>
          <w:lang w:val="en-US" w:eastAsia="en-US"/>
        </w:rPr>
        <w:t>Brian Richard Pauw</w:t>
      </w:r>
      <w:r>
        <w:rPr>
          <w:bCs/>
          <w:color w:val="000000"/>
          <w:sz w:val="20"/>
          <w:szCs w:val="20"/>
          <w:vertAlign w:val="superscript"/>
        </w:rPr>
        <w:t>1</w:t>
      </w:r>
      <w:r>
        <w:rPr>
          <w:b/>
          <w:bCs/>
          <w:color w:val="000000"/>
          <w:sz w:val="20"/>
          <w:szCs w:val="20"/>
        </w:rPr>
        <w:t xml:space="preserve">, </w:t>
      </w:r>
      <w:r>
        <w:rPr>
          <w:b/>
          <w:bCs/>
          <w:color w:val="000000"/>
          <w:sz w:val="20"/>
          <w:szCs w:val="20"/>
          <w:lang w:val="en-US" w:eastAsia="en-US"/>
        </w:rPr>
        <w:t>Glen Jacob Smales</w:t>
      </w:r>
      <w:r>
        <w:rPr>
          <w:bCs/>
          <w:color w:val="000000"/>
          <w:sz w:val="20"/>
          <w:szCs w:val="20"/>
          <w:vertAlign w:val="superscript"/>
        </w:rPr>
        <w:t>2</w:t>
      </w:r>
      <w:r>
        <w:rPr>
          <w:b/>
          <w:bCs/>
          <w:color w:val="000000"/>
          <w:sz w:val="20"/>
          <w:szCs w:val="20"/>
        </w:rPr>
        <w:t xml:space="preserve"> </w:t>
      </w:r>
    </w:p>
    <w:p>
      <w:pPr>
        <w:pStyle w:val="Normal"/>
        <w:jc w:val="center"/>
        <w:rPr>
          <w:b/>
          <w:b/>
          <w:bCs/>
          <w:color w:val="000000"/>
          <w:sz w:val="16"/>
          <w:szCs w:val="16"/>
        </w:rPr>
      </w:pPr>
      <w:r>
        <w:rPr>
          <w:b/>
          <w:bCs/>
          <w:color w:val="000000"/>
          <w:sz w:val="16"/>
          <w:szCs w:val="16"/>
        </w:rPr>
      </w:r>
    </w:p>
    <w:p>
      <w:pPr>
        <w:pStyle w:val="Normal"/>
        <w:jc w:val="center"/>
        <w:rPr>
          <w:i/>
          <w:i/>
          <w:iCs/>
          <w:color w:val="000000"/>
          <w:sz w:val="16"/>
          <w:szCs w:val="16"/>
        </w:rPr>
      </w:pPr>
      <w:r>
        <w:rPr>
          <w:b/>
          <w:bCs/>
          <w:color w:val="000000"/>
          <w:sz w:val="16"/>
          <w:szCs w:val="16"/>
        </w:rPr>
        <w:t xml:space="preserve"> </w:t>
      </w:r>
      <w:r>
        <w:rPr>
          <w:bCs/>
          <w:i/>
          <w:color w:val="000000"/>
          <w:sz w:val="16"/>
          <w:szCs w:val="16"/>
          <w:vertAlign w:val="superscript"/>
        </w:rPr>
        <w:t>1</w:t>
      </w:r>
      <w:r>
        <w:rPr>
          <w:i/>
          <w:iCs/>
          <w:color w:val="000000"/>
          <w:sz w:val="16"/>
          <w:szCs w:val="16"/>
        </w:rPr>
        <w:t xml:space="preserve"> German Federal Institute for Materials Research and Testing (BAM), Unter den Eichen 87, 12205 Berlin, Germany</w:t>
      </w:r>
    </w:p>
    <w:p>
      <w:pPr>
        <w:pStyle w:val="Normal"/>
        <w:jc w:val="center"/>
        <w:rPr>
          <w:i/>
          <w:i/>
          <w:iCs/>
          <w:color w:val="000000"/>
          <w:sz w:val="16"/>
          <w:szCs w:val="16"/>
        </w:rPr>
      </w:pPr>
      <w:r>
        <w:rPr>
          <w:i/>
          <w:iCs/>
          <w:color w:val="000000"/>
          <w:sz w:val="16"/>
          <w:szCs w:val="16"/>
        </w:rPr>
        <w:t xml:space="preserve">Corresponding author e-mail address: </w:t>
      </w:r>
      <w:r>
        <w:rPr>
          <w:i/>
          <w:iCs/>
          <w:color w:val="000000"/>
          <w:sz w:val="16"/>
          <w:szCs w:val="16"/>
          <w:lang w:val="en-US" w:eastAsia="en-US"/>
        </w:rPr>
        <w:t>brian.pauw@bam.de</w:t>
      </w:r>
    </w:p>
    <w:p>
      <w:pPr>
        <w:pStyle w:val="Normal"/>
        <w:jc w:val="center"/>
        <w:rPr>
          <w:i/>
          <w:i/>
          <w:iCs/>
          <w:color w:val="000000"/>
          <w:sz w:val="20"/>
          <w:szCs w:val="20"/>
        </w:rPr>
      </w:pPr>
      <w:r>
        <w:rPr>
          <w:i/>
          <w:iCs/>
          <w:color w:val="000000"/>
          <w:sz w:val="20"/>
          <w:szCs w:val="20"/>
        </w:rPr>
      </w:r>
    </w:p>
    <w:p>
      <w:pPr>
        <w:pStyle w:val="Normal"/>
        <w:rPr>
          <w:b/>
          <w:b/>
          <w:bCs/>
          <w:color w:val="000000"/>
          <w:sz w:val="20"/>
          <w:szCs w:val="20"/>
        </w:rPr>
      </w:pPr>
      <w:r>
        <w:rPr>
          <w:b/>
          <w:bCs/>
          <w:color w:val="000000"/>
          <w:sz w:val="20"/>
          <w:szCs w:val="20"/>
        </w:rPr>
        <w:t>1. Introduction (section 1) 10 pt Bold</w:t>
      </w:r>
    </w:p>
    <w:p>
      <w:pPr>
        <w:pStyle w:val="Normal"/>
        <w:rPr>
          <w:b/>
          <w:b/>
          <w:bCs/>
          <w:color w:val="000000"/>
          <w:sz w:val="20"/>
          <w:szCs w:val="20"/>
        </w:rPr>
      </w:pPr>
      <w:r>
        <w:rPr>
          <w:color w:val="000000"/>
          <w:sz w:val="20"/>
          <w:szCs w:val="20"/>
        </w:rPr>
      </w:r>
    </w:p>
    <w:p>
      <w:pPr>
        <w:pStyle w:val="Normal"/>
        <w:jc w:val="both"/>
        <w:rPr>
          <w:color w:val="000000"/>
          <w:sz w:val="20"/>
          <w:szCs w:val="20"/>
        </w:rPr>
      </w:pPr>
      <w:r>
        <w:rPr>
          <w:color w:val="000000"/>
          <w:sz w:val="20"/>
          <w:szCs w:val="20"/>
        </w:rPr>
        <w:t xml:space="preserve">A good laboratory organization </w:t>
      </w:r>
      <w:r>
        <w:rPr>
          <w:rFonts w:eastAsia="Times New Roman" w:cs="Times New Roman"/>
          <w:color w:val="000000"/>
          <w:kern w:val="0"/>
          <w:sz w:val="20"/>
          <w:szCs w:val="20"/>
          <w:lang w:val="en-US" w:eastAsia="en-US" w:bidi="ar-SA"/>
        </w:rPr>
        <w:t xml:space="preserve">can </w:t>
      </w:r>
      <w:r>
        <w:rPr>
          <w:rFonts w:eastAsia="Times New Roman" w:cs="Times New Roman"/>
          <w:color w:val="000000"/>
          <w:kern w:val="0"/>
          <w:sz w:val="20"/>
          <w:szCs w:val="20"/>
          <w:lang w:val="en-US" w:eastAsia="en-US" w:bidi="ar-SA"/>
        </w:rPr>
        <w:t xml:space="preserve">help address the reproducibility crisis in science, and </w:t>
      </w:r>
      <w:r>
        <w:rPr>
          <w:rFonts w:eastAsia="Times New Roman" w:cs="Times New Roman"/>
          <w:color w:val="000000"/>
          <w:kern w:val="0"/>
          <w:sz w:val="20"/>
          <w:szCs w:val="20"/>
          <w:lang w:val="en-US" w:eastAsia="en-US" w:bidi="ar-SA"/>
        </w:rPr>
        <w:t>easily multiply</w:t>
      </w:r>
      <w:r>
        <w:rPr>
          <w:color w:val="000000"/>
          <w:sz w:val="20"/>
          <w:szCs w:val="20"/>
        </w:rPr>
        <w:t xml:space="preserve"> the </w:t>
      </w:r>
      <w:r>
        <w:rPr>
          <w:rFonts w:eastAsia="Times New Roman" w:cs="Times New Roman"/>
          <w:color w:val="000000"/>
          <w:kern w:val="0"/>
          <w:sz w:val="20"/>
          <w:szCs w:val="20"/>
          <w:lang w:val="en-US" w:eastAsia="en-US" w:bidi="ar-SA"/>
        </w:rPr>
        <w:t xml:space="preserve">scientific output of a laboratory, </w:t>
      </w:r>
      <w:r>
        <w:rPr>
          <w:rFonts w:eastAsia="Times New Roman" w:cs="Times New Roman"/>
          <w:color w:val="000000"/>
          <w:kern w:val="0"/>
          <w:sz w:val="20"/>
          <w:szCs w:val="20"/>
          <w:lang w:val="en-US" w:eastAsia="en-US" w:bidi="ar-SA"/>
        </w:rPr>
        <w:t xml:space="preserve">while </w:t>
      </w:r>
      <w:r>
        <w:rPr>
          <w:rFonts w:eastAsia="Times New Roman" w:cs="Times New Roman"/>
          <w:color w:val="000000"/>
          <w:kern w:val="0"/>
          <w:sz w:val="20"/>
          <w:szCs w:val="20"/>
          <w:lang w:val="en-US" w:eastAsia="en-US" w:bidi="ar-SA"/>
        </w:rPr>
        <w:t>greatly elevat</w:t>
      </w:r>
      <w:r>
        <w:rPr>
          <w:rFonts w:eastAsia="Times New Roman" w:cs="Times New Roman"/>
          <w:color w:val="000000"/>
          <w:kern w:val="0"/>
          <w:sz w:val="20"/>
          <w:szCs w:val="20"/>
          <w:lang w:val="en-US" w:eastAsia="en-US" w:bidi="ar-SA"/>
        </w:rPr>
        <w:t xml:space="preserve">ing </w:t>
      </w:r>
      <w:r>
        <w:rPr>
          <w:rFonts w:eastAsia="Times New Roman" w:cs="Times New Roman"/>
          <w:color w:val="000000"/>
          <w:kern w:val="0"/>
          <w:sz w:val="20"/>
          <w:szCs w:val="20"/>
          <w:lang w:val="en-US" w:eastAsia="en-US" w:bidi="ar-SA"/>
        </w:rPr>
        <w:t>the quality of the measurements.</w:t>
      </w:r>
      <w:r>
        <w:rPr>
          <w:color w:val="000000"/>
          <w:sz w:val="20"/>
          <w:szCs w:val="20"/>
        </w:rPr>
        <w:t xml:space="preserve"> We have demonstrated this for small- and wide-angle X-ray scattering in the MOUSE project (Methodology Optimization for Ultrafine Structure Exploration) [1]. </w:t>
      </w:r>
      <w:r>
        <w:rPr>
          <w:rFonts w:eastAsia="Times New Roman" w:cs="Times New Roman"/>
          <w:color w:val="000000"/>
          <w:kern w:val="0"/>
          <w:sz w:val="20"/>
          <w:szCs w:val="20"/>
          <w:lang w:val="en-US" w:eastAsia="en-US" w:bidi="ar-SA"/>
        </w:rPr>
        <w:t>In the MOUSE, we</w:t>
      </w:r>
      <w:r>
        <w:rPr>
          <w:color w:val="000000"/>
          <w:sz w:val="20"/>
          <w:szCs w:val="20"/>
        </w:rPr>
        <w:t xml:space="preserve"> have combined: a) a comprehensive laboratory workflow with b) a heavily modified, highly automated </w:t>
      </w:r>
      <w:r>
        <w:rPr>
          <w:rFonts w:eastAsia="Times New Roman" w:cs="Times New Roman"/>
          <w:color w:val="000000"/>
          <w:kern w:val="0"/>
          <w:sz w:val="20"/>
          <w:szCs w:val="20"/>
          <w:lang w:val="en-US" w:eastAsia="en-US" w:bidi="ar-SA"/>
        </w:rPr>
        <w:t>X-ray scattering instrument</w:t>
      </w:r>
      <w:r>
        <w:rPr>
          <w:color w:val="000000"/>
          <w:sz w:val="20"/>
          <w:szCs w:val="20"/>
        </w:rPr>
        <w:t xml:space="preserve">. This combination allows us to collect fully traceable scattering data, with a well-documented data flow (akin to what is found at the more automated beamlines). With two full-time researchers, the lab collects and interprets thousands of datasets, on hundreds of samples for dozens of projects per year, supporting many users along the entire process from sample selection and preparation, to the analysis of the resulting data. </w:t>
      </w:r>
    </w:p>
    <w:p>
      <w:pPr>
        <w:pStyle w:val="Normal"/>
        <w:jc w:val="both"/>
        <w:rPr>
          <w:color w:val="000000"/>
          <w:sz w:val="20"/>
          <w:szCs w:val="20"/>
        </w:rPr>
      </w:pPr>
      <w:r>
        <w:rPr>
          <w:color w:val="000000"/>
          <w:sz w:val="20"/>
          <w:szCs w:val="20"/>
        </w:rPr>
        <mc:AlternateContent>
          <mc:Choice Requires="wps">
            <w:drawing>
              <wp:anchor behindDoc="0" distT="0" distB="0" distL="0" distR="0" simplePos="0" locked="0" layoutInCell="0" allowOverlap="1" relativeHeight="2">
                <wp:simplePos x="0" y="0"/>
                <wp:positionH relativeFrom="column">
                  <wp:posOffset>269240</wp:posOffset>
                </wp:positionH>
                <wp:positionV relativeFrom="paragraph">
                  <wp:posOffset>90805</wp:posOffset>
                </wp:positionV>
                <wp:extent cx="5021580" cy="2079625"/>
                <wp:effectExtent l="0" t="0" r="0" b="0"/>
                <wp:wrapTopAndBottom/>
                <wp:docPr id="1" name="Frame1"/>
                <a:graphic xmlns:a="http://schemas.openxmlformats.org/drawingml/2006/main">
                  <a:graphicData uri="http://schemas.microsoft.com/office/word/2010/wordprocessingShape">
                    <wps:wsp>
                      <wps:cNvSpPr/>
                      <wps:spPr>
                        <a:xfrm>
                          <a:off x="0" y="0"/>
                          <a:ext cx="5020920" cy="2079000"/>
                        </a:xfrm>
                        <a:prstGeom prst="rect">
                          <a:avLst/>
                        </a:prstGeom>
                        <a:solidFill>
                          <a:srgbClr val="ffffff"/>
                        </a:solidFill>
                        <a:ln w="0">
                          <a:noFill/>
                        </a:ln>
                      </wps:spPr>
                      <wps:style>
                        <a:lnRef idx="0"/>
                        <a:fillRef idx="0"/>
                        <a:effectRef idx="0"/>
                        <a:fontRef idx="minor"/>
                      </wps:style>
                      <wps:txbx>
                        <w:txbxContent>
                          <w:p>
                            <w:pPr>
                              <w:pStyle w:val="Figure"/>
                              <w:spacing w:before="120" w:after="120"/>
                              <w:rPr/>
                            </w:pPr>
                            <w:r>
                              <w:rPr/>
                              <w:drawing>
                                <wp:inline distT="0" distB="0" distL="0" distR="0">
                                  <wp:extent cx="5021580" cy="160401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5021580" cy="1604010"/>
                                          </a:xfrm>
                                          <a:prstGeom prst="rect">
                                            <a:avLst/>
                                          </a:prstGeom>
                                        </pic:spPr>
                                      </pic:pic>
                                    </a:graphicData>
                                  </a:graphic>
                                </wp:inline>
                              </w:drawing>
                            </w:r>
                            <w:r>
                              <w:rPr>
                                <w:sz w:val="20"/>
                                <w:szCs w:val="20"/>
                              </w:rPr>
                              <w:t xml:space="preserve">Figure </w:t>
                            </w:r>
                            <w:r>
                              <w:rPr>
                                <w:sz w:val="20"/>
                                <w:szCs w:val="20"/>
                              </w:rPr>
                              <w:fldChar w:fldCharType="begin"/>
                            </w:r>
                            <w:r>
                              <w:rPr>
                                <w:sz w:val="20"/>
                                <w:szCs w:val="20"/>
                              </w:rPr>
                              <w:instrText> SEQ Figure \* ARABIC </w:instrText>
                            </w:r>
                            <w:r>
                              <w:rPr>
                                <w:sz w:val="20"/>
                                <w:szCs w:val="20"/>
                              </w:rPr>
                              <w:fldChar w:fldCharType="separate"/>
                            </w:r>
                            <w:r>
                              <w:rPr>
                                <w:sz w:val="20"/>
                                <w:szCs w:val="20"/>
                              </w:rPr>
                              <w:t>1</w:t>
                            </w:r>
                            <w:r>
                              <w:rPr>
                                <w:sz w:val="20"/>
                                <w:szCs w:val="20"/>
                              </w:rPr>
                              <w:fldChar w:fldCharType="end"/>
                            </w:r>
                            <w:r>
                              <w:rPr>
                                <w:sz w:val="20"/>
                                <w:szCs w:val="20"/>
                              </w:rPr>
                              <w:t xml:space="preserve">: The current MOUSE instrument, and the data resulting from the application of the MOUSE methodology. Reproduced from </w:t>
                            </w:r>
                            <w:r>
                              <w:rPr>
                                <w:rFonts w:eastAsia="Times New Roman" w:cs="Arial Unicode MS"/>
                                <w:i/>
                                <w:iCs/>
                                <w:color w:val="auto"/>
                                <w:kern w:val="0"/>
                                <w:sz w:val="20"/>
                                <w:szCs w:val="20"/>
                                <w:lang w:val="en-US" w:eastAsia="en-US" w:bidi="ar-SA"/>
                              </w:rPr>
                              <w:t>[1]</w:t>
                            </w:r>
                            <w:r>
                              <w:rPr>
                                <w:sz w:val="20"/>
                                <w:szCs w:val="20"/>
                              </w:rPr>
                              <w:t xml:space="preserve">. </w:t>
                            </w:r>
                          </w:p>
                        </w:txbxContent>
                      </wps:txbx>
                      <wps:bodyPr lIns="0" rIns="0" tIns="0" bIns="0">
                        <a:noAutofit/>
                      </wps:bodyPr>
                    </wps:wsp>
                  </a:graphicData>
                </a:graphic>
              </wp:anchor>
            </w:drawing>
          </mc:Choice>
          <mc:Fallback>
            <w:pict>
              <v:rect id="shape_0" ID="Frame1" fillcolor="white" stroked="f" style="position:absolute;margin-left:21.2pt;margin-top:7.15pt;width:395.3pt;height:163.65pt;mso-wrap-style:square;v-text-anchor:top">
                <v:fill o:detectmouseclick="t" type="solid" color2="black"/>
                <v:stroke color="#3465a4" joinstyle="round" endcap="flat"/>
                <v:textbox>
                  <w:txbxContent>
                    <w:p>
                      <w:pPr>
                        <w:pStyle w:val="Figure"/>
                        <w:spacing w:before="120" w:after="120"/>
                        <w:rPr/>
                      </w:pPr>
                      <w:r>
                        <w:rPr/>
                        <w:drawing>
                          <wp:inline distT="0" distB="0" distL="0" distR="0">
                            <wp:extent cx="5021580" cy="160401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5021580" cy="1604010"/>
                                    </a:xfrm>
                                    <a:prstGeom prst="rect">
                                      <a:avLst/>
                                    </a:prstGeom>
                                  </pic:spPr>
                                </pic:pic>
                              </a:graphicData>
                            </a:graphic>
                          </wp:inline>
                        </w:drawing>
                      </w:r>
                      <w:r>
                        <w:rPr>
                          <w:sz w:val="20"/>
                          <w:szCs w:val="20"/>
                        </w:rPr>
                        <w:t xml:space="preserve">Figure </w:t>
                      </w:r>
                      <w:r>
                        <w:rPr>
                          <w:sz w:val="20"/>
                          <w:szCs w:val="20"/>
                        </w:rPr>
                        <w:fldChar w:fldCharType="begin"/>
                      </w:r>
                      <w:r>
                        <w:rPr>
                          <w:sz w:val="20"/>
                          <w:szCs w:val="20"/>
                        </w:rPr>
                        <w:instrText> SEQ Figure \* ARABIC </w:instrText>
                      </w:r>
                      <w:r>
                        <w:rPr>
                          <w:sz w:val="20"/>
                          <w:szCs w:val="20"/>
                        </w:rPr>
                        <w:fldChar w:fldCharType="separate"/>
                      </w:r>
                      <w:r>
                        <w:rPr>
                          <w:sz w:val="20"/>
                          <w:szCs w:val="20"/>
                        </w:rPr>
                        <w:t>1</w:t>
                      </w:r>
                      <w:r>
                        <w:rPr>
                          <w:sz w:val="20"/>
                          <w:szCs w:val="20"/>
                        </w:rPr>
                        <w:fldChar w:fldCharType="end"/>
                      </w:r>
                      <w:r>
                        <w:rPr>
                          <w:sz w:val="20"/>
                          <w:szCs w:val="20"/>
                        </w:rPr>
                        <w:t xml:space="preserve">: The current MOUSE instrument, and the data resulting from the application of the MOUSE methodology. Reproduced from </w:t>
                      </w:r>
                      <w:r>
                        <w:rPr>
                          <w:rFonts w:eastAsia="Times New Roman" w:cs="Arial Unicode MS"/>
                          <w:i/>
                          <w:iCs/>
                          <w:color w:val="auto"/>
                          <w:kern w:val="0"/>
                          <w:sz w:val="20"/>
                          <w:szCs w:val="20"/>
                          <w:lang w:val="en-US" w:eastAsia="en-US" w:bidi="ar-SA"/>
                        </w:rPr>
                        <w:t>[1]</w:t>
                      </w:r>
                      <w:r>
                        <w:rPr>
                          <w:sz w:val="20"/>
                          <w:szCs w:val="20"/>
                        </w:rPr>
                        <w:t xml:space="preserve">. </w:t>
                      </w:r>
                    </w:p>
                  </w:txbxContent>
                </v:textbox>
                <w10:wrap type="topAndBottom"/>
              </v:rect>
            </w:pict>
          </mc:Fallback>
        </mc:AlternateContent>
      </w:r>
    </w:p>
    <w:p>
      <w:pPr>
        <w:pStyle w:val="Normal"/>
        <w:jc w:val="both"/>
        <w:rPr>
          <w:color w:val="000000"/>
          <w:sz w:val="20"/>
          <w:szCs w:val="20"/>
        </w:rPr>
      </w:pPr>
      <w:r>
        <w:rPr>
          <w:color w:val="000000"/>
          <w:sz w:val="20"/>
          <w:szCs w:val="20"/>
        </w:rPr>
        <w:t xml:space="preserve">While these numbers do not light a candle to those achieved by our hardworking compatriots at the synchrotron beamlines, the laboratory approach does allow us to continually modify and fine-tune the integral methodology. So for the last three years, we have incorporated e.g. FAIR principles, traceability, automated processing, data curation strategies, as well as a host of good scattering practices into the MOUSE system. We have concomitantly expanded our purview as specialists to include an increased responsibility for the entire scattering aspect of the resultant publications. </w:t>
      </w:r>
      <w:r>
        <w:rPr>
          <w:color w:val="000000"/>
          <w:sz w:val="20"/>
          <w:szCs w:val="20"/>
        </w:rPr>
        <w:t>This</w:t>
      </w:r>
      <w:r>
        <w:rPr>
          <w:color w:val="000000"/>
          <w:sz w:val="20"/>
          <w:szCs w:val="20"/>
        </w:rPr>
        <w:t xml:space="preserve"> ensure</w:t>
      </w:r>
      <w:r>
        <w:rPr>
          <w:color w:val="000000"/>
          <w:sz w:val="20"/>
          <w:szCs w:val="20"/>
        </w:rPr>
        <w:t>s</w:t>
      </w:r>
      <w:r>
        <w:rPr>
          <w:color w:val="000000"/>
          <w:sz w:val="20"/>
          <w:szCs w:val="20"/>
        </w:rPr>
        <w:t xml:space="preserve"> full exploitation of the data quality, whilst avoiding common pitfalls. </w:t>
      </w:r>
    </w:p>
    <w:p>
      <w:pPr>
        <w:pStyle w:val="MTDisplayEquation"/>
        <w:rPr/>
      </w:pPr>
      <w:r>
        <w:rPr/>
        <w:tab/>
      </w:r>
    </w:p>
    <w:p>
      <w:pPr>
        <w:pStyle w:val="Normal"/>
        <w:jc w:val="both"/>
        <w:rPr>
          <w:b/>
          <w:b/>
          <w:color w:val="000000"/>
          <w:sz w:val="20"/>
          <w:szCs w:val="20"/>
        </w:rPr>
      </w:pPr>
      <w:r>
        <w:rPr>
          <w:b/>
          <w:color w:val="000000"/>
          <w:sz w:val="20"/>
          <w:szCs w:val="20"/>
        </w:rPr>
        <w:t xml:space="preserve">2. </w:t>
      </w:r>
      <w:r>
        <w:rPr>
          <w:rFonts w:eastAsia="Times New Roman" w:cs="Times New Roman"/>
          <w:b/>
          <w:color w:val="000000"/>
          <w:kern w:val="0"/>
          <w:sz w:val="20"/>
          <w:szCs w:val="20"/>
          <w:lang w:val="en-US" w:eastAsia="en-US" w:bidi="ar-SA"/>
        </w:rPr>
        <w:t>Talk scope</w:t>
      </w:r>
    </w:p>
    <w:p>
      <w:pPr>
        <w:pStyle w:val="Normal"/>
        <w:jc w:val="both"/>
        <w:rPr>
          <w:b/>
          <w:b/>
          <w:color w:val="000000"/>
          <w:sz w:val="20"/>
          <w:szCs w:val="20"/>
        </w:rPr>
      </w:pPr>
      <w:r>
        <w:rPr>
          <w:color w:val="000000"/>
          <w:sz w:val="20"/>
          <w:szCs w:val="20"/>
        </w:rPr>
      </w:r>
    </w:p>
    <w:p>
      <w:pPr>
        <w:pStyle w:val="Normal"/>
        <w:jc w:val="both"/>
        <w:rPr>
          <w:color w:val="000000"/>
          <w:sz w:val="20"/>
          <w:szCs w:val="20"/>
        </w:rPr>
      </w:pPr>
      <w:r>
        <w:rPr>
          <w:color w:val="000000"/>
          <w:sz w:val="20"/>
          <w:szCs w:val="20"/>
        </w:rPr>
        <w:t xml:space="preserve">This talk will </w:t>
      </w:r>
      <w:r>
        <w:rPr>
          <w:rFonts w:eastAsia="Times New Roman" w:cs="Times New Roman"/>
          <w:color w:val="000000"/>
          <w:kern w:val="0"/>
          <w:sz w:val="20"/>
          <w:szCs w:val="20"/>
          <w:lang w:val="en-US" w:eastAsia="en-US" w:bidi="ar-SA"/>
        </w:rPr>
        <w:t>present</w:t>
      </w:r>
      <w:r>
        <w:rPr>
          <w:color w:val="000000"/>
          <w:sz w:val="20"/>
          <w:szCs w:val="20"/>
        </w:rPr>
        <w:t xml:space="preserve"> the MOUSE project as implemented to date, and will introduce foreseeable upgrades and changes. These upgrades include better pre-experiment sample scattering predictions to filter projects on the basis of their suitability, exploitation of the measurement database for detecting long-term changes and automated flagging of datasets, </w:t>
      </w:r>
      <w:r>
        <w:rPr>
          <w:color w:val="000000"/>
          <w:sz w:val="20"/>
          <w:szCs w:val="20"/>
        </w:rPr>
        <w:t xml:space="preserve">extending the measurement range through an Ultra-SAXS module [2], </w:t>
      </w:r>
      <w:r>
        <w:rPr>
          <w:color w:val="000000"/>
          <w:sz w:val="20"/>
          <w:szCs w:val="20"/>
        </w:rPr>
        <w:t xml:space="preserve">and enhancing MC fitting </w:t>
      </w:r>
      <w:r>
        <w:rPr>
          <w:color w:val="000000"/>
          <w:sz w:val="20"/>
          <w:szCs w:val="20"/>
        </w:rPr>
        <w:t xml:space="preserve">[3] </w:t>
      </w:r>
      <w:r>
        <w:rPr>
          <w:color w:val="000000"/>
          <w:sz w:val="20"/>
          <w:szCs w:val="20"/>
        </w:rPr>
        <w:t xml:space="preserve">with sample scattering simulations for better matching of odd-shaped scatterers. </w:t>
      </w:r>
    </w:p>
    <w:p>
      <w:pPr>
        <w:pStyle w:val="Normal"/>
        <w:jc w:val="center"/>
        <w:rPr>
          <w:color w:val="000000"/>
          <w:sz w:val="20"/>
          <w:szCs w:val="20"/>
        </w:rPr>
      </w:pPr>
      <w:r>
        <w:rPr>
          <w:color w:val="000000"/>
          <w:sz w:val="20"/>
          <w:szCs w:val="20"/>
        </w:rPr>
        <w:t xml:space="preserve">               </w:t>
      </w:r>
    </w:p>
    <w:p>
      <w:pPr>
        <w:pStyle w:val="Normal"/>
        <w:rPr>
          <w:color w:val="000000"/>
          <w:sz w:val="20"/>
          <w:szCs w:val="20"/>
        </w:rPr>
      </w:pPr>
      <w:r>
        <w:rPr>
          <w:color w:val="000000"/>
          <w:sz w:val="20"/>
          <w:szCs w:val="20"/>
        </w:rPr>
      </w:r>
    </w:p>
    <w:p>
      <w:pPr>
        <w:pStyle w:val="Normal"/>
        <w:rPr>
          <w:b/>
          <w:b/>
          <w:bCs/>
          <w:color w:val="000000"/>
          <w:sz w:val="20"/>
          <w:szCs w:val="20"/>
        </w:rPr>
      </w:pPr>
      <w:r>
        <w:rPr>
          <w:b/>
          <w:bCs/>
          <w:color w:val="000000"/>
          <w:sz w:val="20"/>
          <w:szCs w:val="20"/>
        </w:rPr>
        <w:t>3. References</w:t>
      </w:r>
    </w:p>
    <w:p>
      <w:pPr>
        <w:pStyle w:val="Normal"/>
        <w:rPr>
          <w:color w:val="000000"/>
          <w:sz w:val="20"/>
          <w:szCs w:val="20"/>
        </w:rPr>
      </w:pPr>
      <w:r>
        <w:rPr>
          <w:color w:val="000000"/>
          <w:sz w:val="20"/>
          <w:szCs w:val="20"/>
        </w:rPr>
      </w:r>
    </w:p>
    <w:p>
      <w:pPr>
        <w:pStyle w:val="Normal"/>
        <w:rPr>
          <w:color w:val="000000"/>
          <w:sz w:val="16"/>
          <w:szCs w:val="16"/>
        </w:rPr>
      </w:pPr>
      <w:r>
        <w:rPr>
          <w:color w:val="000000"/>
          <w:sz w:val="16"/>
          <w:szCs w:val="16"/>
        </w:rPr>
        <w:t xml:space="preserve">[1] Smales, G. J., and Pauw, B. R. The MOUSE project: a meticulous approach for obtaining traceable, wide-range X-ray scattering information. Journal of Instrumentation. 16, P06034 (2021). </w:t>
      </w:r>
      <w:r>
        <w:rPr>
          <w:color w:val="000000"/>
          <w:sz w:val="16"/>
          <w:szCs w:val="16"/>
        </w:rPr>
        <w:t xml:space="preserve">DOI: </w:t>
      </w:r>
      <w:hyperlink r:id="rId3">
        <w:r>
          <w:rPr>
            <w:rStyle w:val="InternetLink"/>
            <w:rFonts w:ascii="Open Sans;Helvetica;Arial;sans-serif" w:hAnsi="Open Sans;Helvetica;Arial;sans-serif"/>
            <w:b w:val="false"/>
            <w:bCs w:val="false"/>
            <w:i w:val="false"/>
            <w:caps w:val="false"/>
            <w:smallCaps w:val="false"/>
            <w:strike w:val="false"/>
            <w:dstrike w:val="false"/>
            <w:color w:val="E64946"/>
            <w:spacing w:val="0"/>
            <w:sz w:val="16"/>
            <w:szCs w:val="16"/>
            <w:u w:val="none"/>
            <w:effect w:val="none"/>
          </w:rPr>
          <w:t>10.1088/1748-0221/16/06/P06034</w:t>
        </w:r>
      </w:hyperlink>
    </w:p>
    <w:p>
      <w:pPr>
        <w:pStyle w:val="Normal"/>
        <w:rPr>
          <w:color w:val="000000"/>
          <w:sz w:val="16"/>
          <w:szCs w:val="16"/>
        </w:rPr>
      </w:pPr>
      <w:r>
        <w:rPr>
          <w:color w:val="000000"/>
          <w:sz w:val="16"/>
          <w:szCs w:val="16"/>
        </w:rPr>
        <w:t xml:space="preserve">[2] B. R. Pauw, A. J. Smith, T. Snow, O. Shebanova, J. P. Sutter, J. Ilavsky, D. Hermida-Merino, G. J. Smales, N. J. Terrill, A. F. Thünemann and W. Bras: Extending synchrotron SAXS instrument ranges through addition of a portable, inexpensive USAXS module with vertical rotation axes. Journal of Synchrotron Radiation 28 (3). DOI: </w:t>
      </w:r>
      <w:hyperlink r:id="rId4">
        <w:r>
          <w:rPr>
            <w:rStyle w:val="InternetLink"/>
            <w:rFonts w:ascii="Open Sans;Helvetica;Arial;sans-serif" w:hAnsi="Open Sans;Helvetica;Arial;sans-serif"/>
            <w:b w:val="false"/>
            <w:bCs w:val="false"/>
            <w:i w:val="false"/>
            <w:caps w:val="false"/>
            <w:smallCaps w:val="false"/>
            <w:strike w:val="false"/>
            <w:dstrike w:val="false"/>
            <w:color w:val="E64946"/>
            <w:spacing w:val="0"/>
            <w:sz w:val="16"/>
            <w:szCs w:val="16"/>
            <w:u w:val="none"/>
            <w:effect w:val="none"/>
          </w:rPr>
          <w:t>10.1107/S1600577521003313</w:t>
        </w:r>
      </w:hyperlink>
    </w:p>
    <w:p>
      <w:pPr>
        <w:pStyle w:val="Normal"/>
        <w:rPr>
          <w:color w:val="000000"/>
          <w:sz w:val="16"/>
          <w:szCs w:val="16"/>
        </w:rPr>
      </w:pPr>
      <w:r>
        <w:rPr>
          <w:color w:val="000000"/>
          <w:sz w:val="16"/>
          <w:szCs w:val="16"/>
        </w:rPr>
        <w:t>[3]</w:t>
      </w:r>
      <w:r>
        <w:rPr>
          <w:rFonts w:ascii="Times New Roman" w:hAnsi="Times New Roman"/>
          <w:b w:val="false"/>
          <w:bCs w:val="false"/>
          <w:color w:val="000000"/>
          <w:sz w:val="16"/>
          <w:szCs w:val="16"/>
        </w:rPr>
        <w:t xml:space="preserve"> </w:t>
      </w:r>
      <w:r>
        <w:rPr>
          <w:rFonts w:ascii="Times New Roman" w:hAnsi="Times New Roman"/>
          <w:b w:val="false"/>
          <w:bCs w:val="false"/>
          <w:i w:val="false"/>
          <w:caps w:val="false"/>
          <w:smallCaps w:val="false"/>
          <w:strike w:val="false"/>
          <w:dstrike w:val="false"/>
          <w:color w:val="000000"/>
          <w:spacing w:val="0"/>
          <w:sz w:val="16"/>
          <w:szCs w:val="16"/>
          <w:u w:val="none"/>
          <w:effect w:val="none"/>
        </w:rPr>
        <w:t xml:space="preserve">I. Breßler, B. R. Pauw, A. F. Thünemann, McSAS: A package for extracting quantitative form-free distributions, Journal of Applied Crystallography 48: 962-969, DOI: </w:t>
      </w:r>
      <w:hyperlink r:id="rId5">
        <w:r>
          <w:rPr>
            <w:rStyle w:val="InternetLink"/>
            <w:rFonts w:ascii="Open Sans;Helvetica;Arial;sans-serif" w:hAnsi="Open Sans;Helvetica;Arial;sans-serif"/>
            <w:b w:val="false"/>
            <w:bCs w:val="false"/>
            <w:i w:val="false"/>
            <w:caps w:val="false"/>
            <w:smallCaps w:val="false"/>
            <w:strike w:val="false"/>
            <w:dstrike w:val="false"/>
            <w:color w:val="E64946"/>
            <w:spacing w:val="0"/>
            <w:sz w:val="16"/>
            <w:szCs w:val="16"/>
            <w:u w:val="none"/>
            <w:effect w:val="none"/>
          </w:rPr>
          <w:t>10.1107/S1600576715007347</w:t>
        </w:r>
      </w:hyperlink>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Open Sans">
    <w:altName w:val="Helvetica"/>
    <w:charset w:val="01"/>
    <w:family w:val="auto"/>
    <w:pitch w:val="default"/>
  </w:font>
</w:fonts>
</file>

<file path=word/settings.xml><?xml version="1.0" encoding="utf-8"?>
<w:settings xmlns:w="http://schemas.openxmlformats.org/wordprocessingml/2006/main">
  <w:zoom w:percent="80"/>
  <w:defaultTabStop w:val="352"/>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s-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1245b"/>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MTEquationSection" w:customStyle="1">
    <w:name w:val="MTEquationSection"/>
    <w:basedOn w:val="DefaultParagraphFont"/>
    <w:qFormat/>
    <w:rsid w:val="00e267cd"/>
    <w:rPr>
      <w:b/>
      <w:bCs/>
      <w:vanish/>
      <w:color w:val="FF0000"/>
      <w:sz w:val="36"/>
      <w:szCs w:val="36"/>
    </w:rPr>
  </w:style>
  <w:style w:type="character" w:styleId="MTDisplayEquationChar" w:customStyle="1">
    <w:name w:val="MTDisplayEquation Char"/>
    <w:basedOn w:val="DefaultParagraphFont"/>
    <w:link w:val="MTDisplayEquation"/>
    <w:qFormat/>
    <w:rsid w:val="00e267cd"/>
    <w:rPr>
      <w:color w:val="000000"/>
      <w:lang w:val="en-US" w:eastAsia="en-US"/>
    </w:rPr>
  </w:style>
  <w:style w:type="character" w:styleId="PlaceholderText">
    <w:name w:val="Placeholder Text"/>
    <w:basedOn w:val="DefaultParagraphFont"/>
    <w:uiPriority w:val="99"/>
    <w:semiHidden/>
    <w:qFormat/>
    <w:rsid w:val="00a9295f"/>
    <w:rPr>
      <w:color w:val="808080"/>
    </w:rPr>
  </w:style>
  <w:style w:type="character" w:styleId="BalloonTextChar" w:customStyle="1">
    <w:name w:val="Balloon Text Char"/>
    <w:basedOn w:val="DefaultParagraphFont"/>
    <w:link w:val="BalloonText"/>
    <w:qFormat/>
    <w:rsid w:val="00a9295f"/>
    <w:rPr>
      <w:rFonts w:ascii="Tahoma" w:hAnsi="Tahoma" w:cs="Tahoma"/>
      <w:sz w:val="16"/>
      <w:szCs w:val="16"/>
      <w:lang w:val="en-US" w:eastAsia="en-US"/>
    </w:rPr>
  </w:style>
  <w:style w:type="character" w:styleId="InternetLink">
    <w:name w:val="Hyperlink"/>
    <w:basedOn w:val="DefaultParagraphFont"/>
    <w:rsid w:val="00654b33"/>
    <w:rPr>
      <w:color w:val="0000FF"/>
      <w:u w:val="single"/>
    </w:rPr>
  </w:style>
  <w:style w:type="character" w:styleId="UnresolvedMention">
    <w:name w:val="Unresolved Mention"/>
    <w:basedOn w:val="DefaultParagraphFont"/>
    <w:uiPriority w:val="99"/>
    <w:semiHidden/>
    <w:unhideWhenUsed/>
    <w:qFormat/>
    <w:rsid w:val="001c7522"/>
    <w:rPr>
      <w:color w:val="605E5C"/>
      <w:shd w:fill="E1DFDD" w:val="clear"/>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MTDisplayEquation" w:customStyle="1">
    <w:name w:val="MTDisplayEquation"/>
    <w:basedOn w:val="Normal"/>
    <w:next w:val="Normal"/>
    <w:link w:val="MTDisplayEquationChar"/>
    <w:qFormat/>
    <w:rsid w:val="00e267cd"/>
    <w:pPr>
      <w:tabs>
        <w:tab w:val="clear" w:pos="352"/>
        <w:tab w:val="center" w:pos="4320" w:leader="none"/>
        <w:tab w:val="right" w:pos="8640" w:leader="none"/>
      </w:tabs>
    </w:pPr>
    <w:rPr>
      <w:color w:val="000000"/>
      <w:sz w:val="20"/>
      <w:szCs w:val="20"/>
    </w:rPr>
  </w:style>
  <w:style w:type="paragraph" w:styleId="BalloonText">
    <w:name w:val="Balloon Text"/>
    <w:basedOn w:val="Normal"/>
    <w:link w:val="BalloonTextChar"/>
    <w:qFormat/>
    <w:rsid w:val="00a9295f"/>
    <w:pPr/>
    <w:rPr>
      <w:rFonts w:ascii="Tahoma" w:hAnsi="Tahoma" w:cs="Tahoma"/>
      <w:sz w:val="16"/>
      <w:szCs w:val="16"/>
    </w:rPr>
  </w:style>
  <w:style w:type="paragraph" w:styleId="Caption1">
    <w:name w:val="caption"/>
    <w:basedOn w:val="Normal"/>
    <w:next w:val="Normal"/>
    <w:qFormat/>
    <w:rsid w:val="003f716f"/>
    <w:pPr/>
    <w:rPr>
      <w:b/>
      <w:bCs/>
      <w:sz w:val="20"/>
      <w:szCs w:val="20"/>
    </w:rPr>
  </w:style>
  <w:style w:type="paragraph" w:styleId="FrameContents">
    <w:name w:val="Frame Contents"/>
    <w:basedOn w:val="Normal"/>
    <w:qFormat/>
    <w:pPr/>
    <w:rPr/>
  </w:style>
  <w:style w:type="paragraph" w:styleId="Figure">
    <w:name w:val="Figure"/>
    <w:basedOn w:val="Caption"/>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c01d2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i.org/10.1088/1748-0221/16/06/P06034" TargetMode="External"/><Relationship Id="rId4" Type="http://schemas.openxmlformats.org/officeDocument/2006/relationships/hyperlink" Target="https://doi.org/10.1107/S1600577521003313" TargetMode="External"/><Relationship Id="rId5" Type="http://schemas.openxmlformats.org/officeDocument/2006/relationships/hyperlink" Target="http://dx.doi.org/10.1107/S1600576715007347"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1572</TotalTime>
  <Application>LibreOffice/7.0.5.2$MacOSX_X86_64 LibreOffice_project/64390860c6cd0aca4beafafcfd84613dd9dfb63a</Application>
  <AppVersion>15.0000</AppVersion>
  <Pages>1</Pages>
  <Words>497</Words>
  <Characters>2924</Characters>
  <CharactersWithSpaces>3425</CharactersWithSpaces>
  <Paragraphs>17</Paragraphs>
  <Company>CSIR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2021-07-20T17:41:00Z</dcterms:created>
  <dc:creator>rcbotha</dc:creator>
  <dc:description/>
  <dc:language>en-US</dc:language>
  <cp:lastModifiedBy/>
  <cp:lastPrinted>2010-06-23T09:35:00Z</cp:lastPrinted>
  <dcterms:modified xsi:type="dcterms:W3CDTF">2021-09-15T13:31:27Z</dcterms:modified>
  <cp:revision>9</cp:revision>
  <dc:subject/>
  <dc:title>Selective Excitation of a Vibrational Level Within Hexafluoride Molecules with Ultra Short Lasers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1</vt:bool>
  </property>
</Properties>
</file>