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8DD9" w14:textId="7CCBCA23" w:rsidR="00EF28F5" w:rsidRPr="00DE6ED6" w:rsidRDefault="006D7D5F" w:rsidP="00DE6ED6">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801463">
        <w:rPr>
          <w:b/>
          <w:bCs/>
          <w:color w:val="000000"/>
          <w:sz w:val="28"/>
          <w:szCs w:val="28"/>
        </w:rPr>
        <w:t>Elastic stability</w:t>
      </w:r>
      <w:r w:rsidR="00DE6ED6">
        <w:rPr>
          <w:b/>
          <w:bCs/>
          <w:color w:val="000000"/>
          <w:sz w:val="28"/>
          <w:szCs w:val="28"/>
        </w:rPr>
        <w:t xml:space="preserve"> analysis</w:t>
      </w:r>
      <w:r w:rsidR="00801463">
        <w:rPr>
          <w:b/>
          <w:bCs/>
          <w:color w:val="000000"/>
          <w:sz w:val="28"/>
          <w:szCs w:val="28"/>
        </w:rPr>
        <w:t xml:space="preserve"> of non-prismatic bridge-pier under one phase </w:t>
      </w:r>
      <w:r w:rsidR="00DE6ED6">
        <w:rPr>
          <w:b/>
          <w:bCs/>
          <w:color w:val="000000"/>
          <w:sz w:val="28"/>
          <w:szCs w:val="28"/>
        </w:rPr>
        <w:t xml:space="preserve">lateral </w:t>
      </w:r>
      <w:r w:rsidR="00801463">
        <w:rPr>
          <w:b/>
          <w:bCs/>
          <w:color w:val="000000"/>
          <w:sz w:val="28"/>
          <w:szCs w:val="28"/>
        </w:rPr>
        <w:t>fluid loads</w:t>
      </w:r>
    </w:p>
    <w:p w14:paraId="758E7D12" w14:textId="43340D40" w:rsidR="00AE349D" w:rsidRPr="00801463" w:rsidRDefault="00801463" w:rsidP="00F20A8D">
      <w:pPr>
        <w:autoSpaceDE w:val="0"/>
        <w:autoSpaceDN w:val="0"/>
        <w:adjustRightInd w:val="0"/>
        <w:jc w:val="center"/>
        <w:rPr>
          <w:b/>
          <w:bCs/>
          <w:color w:val="000000"/>
          <w:sz w:val="20"/>
          <w:szCs w:val="20"/>
          <w:vertAlign w:val="superscript"/>
        </w:rPr>
      </w:pPr>
      <w:r>
        <w:rPr>
          <w:b/>
          <w:bCs/>
          <w:color w:val="000000"/>
          <w:sz w:val="20"/>
          <w:szCs w:val="20"/>
          <w:u w:val="single"/>
        </w:rPr>
        <w:t xml:space="preserve">L. </w:t>
      </w:r>
      <w:proofErr w:type="spellStart"/>
      <w:r>
        <w:rPr>
          <w:b/>
          <w:bCs/>
          <w:color w:val="000000"/>
          <w:sz w:val="20"/>
          <w:szCs w:val="20"/>
          <w:u w:val="single"/>
        </w:rPr>
        <w:t>Ngou</w:t>
      </w:r>
      <w:proofErr w:type="spellEnd"/>
      <w:r>
        <w:rPr>
          <w:b/>
          <w:bCs/>
          <w:color w:val="000000"/>
          <w:sz w:val="20"/>
          <w:szCs w:val="20"/>
          <w:u w:val="single"/>
        </w:rPr>
        <w:t xml:space="preserve"> Zeufo</w:t>
      </w:r>
      <w:r w:rsidR="009D1122" w:rsidRPr="00654B33">
        <w:rPr>
          <w:bCs/>
          <w:color w:val="000000"/>
          <w:sz w:val="20"/>
          <w:szCs w:val="20"/>
          <w:vertAlign w:val="superscript"/>
        </w:rPr>
        <w:t>1,</w:t>
      </w:r>
      <w:r>
        <w:rPr>
          <w:bCs/>
          <w:color w:val="000000"/>
          <w:sz w:val="20"/>
          <w:szCs w:val="20"/>
          <w:vertAlign w:val="superscript"/>
        </w:rPr>
        <w:t>*</w:t>
      </w:r>
      <w:r w:rsidR="00A976C6" w:rsidRPr="00654B33">
        <w:rPr>
          <w:b/>
          <w:bCs/>
          <w:color w:val="000000"/>
          <w:sz w:val="20"/>
          <w:szCs w:val="20"/>
        </w:rPr>
        <w:t xml:space="preserve">, </w:t>
      </w:r>
      <w:r>
        <w:rPr>
          <w:b/>
          <w:bCs/>
          <w:color w:val="000000"/>
          <w:sz w:val="20"/>
          <w:szCs w:val="20"/>
        </w:rPr>
        <w:t xml:space="preserve">H. </w:t>
      </w:r>
      <w:proofErr w:type="spellStart"/>
      <w:r>
        <w:rPr>
          <w:b/>
          <w:bCs/>
          <w:color w:val="000000"/>
          <w:sz w:val="20"/>
          <w:szCs w:val="20"/>
        </w:rPr>
        <w:t>Simo</w:t>
      </w:r>
      <w:proofErr w:type="spellEnd"/>
      <w:r w:rsidR="009024F7">
        <w:rPr>
          <w:b/>
          <w:bCs/>
          <w:color w:val="000000"/>
          <w:sz w:val="20"/>
          <w:szCs w:val="20"/>
        </w:rPr>
        <w:t xml:space="preserve"> Kaptue</w:t>
      </w:r>
      <w:bookmarkStart w:id="0" w:name="_GoBack"/>
      <w:bookmarkEnd w:id="0"/>
      <w:r w:rsidRPr="00801463">
        <w:rPr>
          <w:bCs/>
          <w:color w:val="000000"/>
          <w:sz w:val="20"/>
          <w:szCs w:val="20"/>
          <w:vertAlign w:val="superscript"/>
        </w:rPr>
        <w:t>1</w:t>
      </w:r>
      <w:r>
        <w:rPr>
          <w:b/>
          <w:bCs/>
          <w:color w:val="000000"/>
          <w:sz w:val="20"/>
          <w:szCs w:val="20"/>
        </w:rPr>
        <w:t xml:space="preserve">, Y. </w:t>
      </w:r>
      <w:proofErr w:type="spellStart"/>
      <w:r>
        <w:rPr>
          <w:b/>
          <w:bCs/>
          <w:color w:val="000000"/>
          <w:sz w:val="20"/>
          <w:szCs w:val="20"/>
        </w:rPr>
        <w:t>Mbono</w:t>
      </w:r>
      <w:proofErr w:type="spellEnd"/>
      <w:r>
        <w:rPr>
          <w:b/>
          <w:bCs/>
          <w:color w:val="000000"/>
          <w:sz w:val="20"/>
          <w:szCs w:val="20"/>
        </w:rPr>
        <w:t xml:space="preserve"> Samba</w:t>
      </w:r>
      <w:r w:rsidRPr="00801463">
        <w:rPr>
          <w:bCs/>
          <w:color w:val="000000"/>
          <w:sz w:val="20"/>
          <w:szCs w:val="20"/>
          <w:vertAlign w:val="superscript"/>
        </w:rPr>
        <w:t>1</w:t>
      </w:r>
    </w:p>
    <w:p w14:paraId="76610110" w14:textId="77777777" w:rsidR="00A974FA" w:rsidRDefault="00A974FA" w:rsidP="00160B67">
      <w:pPr>
        <w:autoSpaceDE w:val="0"/>
        <w:autoSpaceDN w:val="0"/>
        <w:adjustRightInd w:val="0"/>
        <w:jc w:val="center"/>
        <w:rPr>
          <w:b/>
          <w:bCs/>
          <w:color w:val="000000"/>
          <w:sz w:val="16"/>
          <w:szCs w:val="16"/>
        </w:rPr>
      </w:pPr>
    </w:p>
    <w:p w14:paraId="0272C7D0" w14:textId="5A8C5520" w:rsidR="00160B67"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801463">
        <w:rPr>
          <w:i/>
          <w:iCs/>
          <w:color w:val="000000"/>
          <w:sz w:val="16"/>
          <w:szCs w:val="16"/>
        </w:rPr>
        <w:t xml:space="preserve">Laboratory of Applied Mechanics, University of </w:t>
      </w:r>
      <w:r w:rsidR="00344239">
        <w:rPr>
          <w:i/>
          <w:iCs/>
          <w:color w:val="000000"/>
          <w:sz w:val="16"/>
          <w:szCs w:val="16"/>
        </w:rPr>
        <w:t>Yaoundé</w:t>
      </w:r>
      <w:r w:rsidR="00801463">
        <w:rPr>
          <w:i/>
          <w:iCs/>
          <w:color w:val="000000"/>
          <w:sz w:val="16"/>
          <w:szCs w:val="16"/>
        </w:rPr>
        <w:t xml:space="preserve"> 1</w:t>
      </w:r>
      <w:r w:rsidR="00E9391D" w:rsidRPr="00654B33">
        <w:rPr>
          <w:i/>
          <w:iCs/>
          <w:color w:val="000000"/>
          <w:sz w:val="16"/>
          <w:szCs w:val="16"/>
        </w:rPr>
        <w:t xml:space="preserve">, </w:t>
      </w:r>
      <w:r w:rsidR="00801463">
        <w:rPr>
          <w:i/>
          <w:iCs/>
          <w:color w:val="000000"/>
          <w:sz w:val="16"/>
          <w:szCs w:val="16"/>
        </w:rPr>
        <w:t xml:space="preserve">P.O Box 812, </w:t>
      </w:r>
      <w:r w:rsidR="00344239">
        <w:rPr>
          <w:i/>
          <w:iCs/>
          <w:color w:val="000000"/>
          <w:sz w:val="16"/>
          <w:szCs w:val="16"/>
        </w:rPr>
        <w:t>Yaoundé</w:t>
      </w:r>
      <w:r w:rsidR="00801463">
        <w:rPr>
          <w:i/>
          <w:iCs/>
          <w:color w:val="000000"/>
          <w:sz w:val="16"/>
          <w:szCs w:val="16"/>
        </w:rPr>
        <w:t>, Cameroon</w:t>
      </w:r>
      <w:r w:rsidR="00F20A8D" w:rsidRPr="00654B33">
        <w:rPr>
          <w:i/>
          <w:iCs/>
          <w:color w:val="000000"/>
          <w:sz w:val="16"/>
          <w:szCs w:val="16"/>
        </w:rPr>
        <w:t xml:space="preserve"> </w:t>
      </w:r>
    </w:p>
    <w:p w14:paraId="2182F7E4" w14:textId="5CB1FB0E" w:rsidR="00160B67" w:rsidRPr="00654B33" w:rsidRDefault="00801463" w:rsidP="00801463">
      <w:pPr>
        <w:autoSpaceDE w:val="0"/>
        <w:autoSpaceDN w:val="0"/>
        <w:adjustRightInd w:val="0"/>
        <w:jc w:val="center"/>
        <w:rPr>
          <w:i/>
          <w:iCs/>
          <w:color w:val="000000"/>
          <w:sz w:val="16"/>
          <w:szCs w:val="16"/>
        </w:rPr>
      </w:pPr>
      <w:r>
        <w:rPr>
          <w:i/>
          <w:iCs/>
          <w:color w:val="000000"/>
          <w:sz w:val="16"/>
          <w:szCs w:val="16"/>
        </w:rPr>
        <w:t>*</w:t>
      </w:r>
      <w:r w:rsidR="00A974FA">
        <w:rPr>
          <w:i/>
          <w:iCs/>
          <w:color w:val="000000"/>
          <w:sz w:val="16"/>
          <w:szCs w:val="16"/>
        </w:rPr>
        <w:t>Corresponding a</w:t>
      </w:r>
      <w:r w:rsidR="00160B67" w:rsidRPr="00654B33">
        <w:rPr>
          <w:i/>
          <w:iCs/>
          <w:color w:val="000000"/>
          <w:sz w:val="16"/>
          <w:szCs w:val="16"/>
        </w:rPr>
        <w:t xml:space="preserve">uthor e-mail address: </w:t>
      </w:r>
      <w:r>
        <w:rPr>
          <w:i/>
          <w:iCs/>
          <w:color w:val="000000"/>
          <w:sz w:val="16"/>
          <w:szCs w:val="16"/>
        </w:rPr>
        <w:t>ngouloic@yahoo.fr</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3116A7BD"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 xml:space="preserve">1. Introduction </w:t>
      </w:r>
    </w:p>
    <w:p w14:paraId="77DDA25C" w14:textId="49ED8EBB" w:rsidR="0017056C" w:rsidRDefault="0017056C" w:rsidP="00DB290A">
      <w:pPr>
        <w:jc w:val="both"/>
        <w:rPr>
          <w:color w:val="000000"/>
          <w:sz w:val="20"/>
          <w:szCs w:val="20"/>
        </w:rPr>
      </w:pPr>
      <w:r w:rsidRPr="0017056C">
        <w:rPr>
          <w:color w:val="000000"/>
          <w:sz w:val="20"/>
          <w:szCs w:val="20"/>
        </w:rPr>
        <w:t>Bridge piers are subjected to compressive forces of deck and vehicle, and they are also subjected to transverse forces such as lateral loads dues to water or wind flow. Generally they are taken as Beam-columns that are structural members subjected to combined axial forces and bending moments created by lateral loads. Such solicitations can modify elastically the stability in the behavior of the pillar. Elastic stability is a significant research subject [1-</w:t>
      </w:r>
      <w:r w:rsidR="00E9675F">
        <w:rPr>
          <w:color w:val="000000"/>
          <w:sz w:val="20"/>
          <w:szCs w:val="20"/>
        </w:rPr>
        <w:t>5</w:t>
      </w:r>
      <w:r w:rsidRPr="0017056C">
        <w:rPr>
          <w:color w:val="000000"/>
          <w:sz w:val="20"/>
          <w:szCs w:val="20"/>
        </w:rPr>
        <w:t>]. It can be evaluated when analyzing critical bu</w:t>
      </w:r>
      <w:r w:rsidR="00E9675F">
        <w:rPr>
          <w:color w:val="000000"/>
          <w:sz w:val="20"/>
          <w:szCs w:val="20"/>
        </w:rPr>
        <w:t>ckling load [5] or stability functions [4</w:t>
      </w:r>
      <w:r w:rsidRPr="0017056C">
        <w:rPr>
          <w:color w:val="000000"/>
          <w:sz w:val="20"/>
          <w:szCs w:val="20"/>
        </w:rPr>
        <w:t>]. More, investigation on elastic stability depends on the geometric of the beam.</w:t>
      </w:r>
      <w:r w:rsidR="00654B33">
        <w:rPr>
          <w:color w:val="000000"/>
          <w:sz w:val="20"/>
          <w:szCs w:val="20"/>
        </w:rPr>
        <w:t xml:space="preserve"> </w:t>
      </w:r>
    </w:p>
    <w:p w14:paraId="778CEB90" w14:textId="77777777" w:rsidR="00372DE9" w:rsidRDefault="00372DE9" w:rsidP="00DB290A">
      <w:pPr>
        <w:jc w:val="both"/>
        <w:rPr>
          <w:color w:val="000000"/>
          <w:sz w:val="20"/>
          <w:szCs w:val="20"/>
        </w:rPr>
      </w:pPr>
    </w:p>
    <w:p w14:paraId="6807A1F3" w14:textId="33A9976D" w:rsidR="00B86D08" w:rsidRDefault="0017056C" w:rsidP="00DB290A">
      <w:pPr>
        <w:jc w:val="both"/>
        <w:rPr>
          <w:color w:val="000000"/>
          <w:sz w:val="20"/>
          <w:szCs w:val="20"/>
        </w:rPr>
      </w:pPr>
      <w:r w:rsidRPr="0017056C">
        <w:rPr>
          <w:color w:val="000000"/>
          <w:sz w:val="20"/>
          <w:szCs w:val="20"/>
        </w:rPr>
        <w:t>In this study, we analyze the elastic stability of a non-prismatic beam-column when subjected to axial compressive forces and variables lateral loads dues to flow (wind or water). For this, a formulation of equilibrium equation is made according to geometric nature of the pillar and all loads. Then analytical method based on power series [4</w:t>
      </w:r>
      <w:proofErr w:type="gramStart"/>
      <w:r w:rsidRPr="0017056C">
        <w:rPr>
          <w:color w:val="000000"/>
          <w:sz w:val="20"/>
          <w:szCs w:val="20"/>
        </w:rPr>
        <w:t>,5</w:t>
      </w:r>
      <w:proofErr w:type="gramEnd"/>
      <w:r w:rsidRPr="0017056C">
        <w:rPr>
          <w:color w:val="000000"/>
          <w:sz w:val="20"/>
          <w:szCs w:val="20"/>
        </w:rPr>
        <w:t>] is used to solve the fourth-order differential equation and evaluate the stability functions. Numerical examples based on the link between depth ratio and beam-column's length are taken to check effectiveness and validity of this study.</w:t>
      </w:r>
    </w:p>
    <w:p w14:paraId="0BAA25EF" w14:textId="043E6FD7" w:rsidR="00F35C76" w:rsidRDefault="0017056C" w:rsidP="00F35C76">
      <w:pPr>
        <w:jc w:val="both"/>
        <w:rPr>
          <w:color w:val="000000"/>
          <w:sz w:val="20"/>
          <w:szCs w:val="20"/>
        </w:rPr>
      </w:pPr>
      <w:r w:rsidRPr="0017056C">
        <w:rPr>
          <w:color w:val="000000"/>
          <w:sz w:val="20"/>
          <w:szCs w:val="20"/>
        </w:rPr>
        <w:t>Within the limitations of the beam-column theory [1], the governing fourth-order ordinary differential equation with variable coefficients for a typical non-prismatic beam-column member subjected to axial compressive force P and lateral fluid loads (as shown in Fig. 1) is as follows:</w:t>
      </w:r>
      <w:r w:rsidR="00F35C76">
        <w:rPr>
          <w:color w:val="000000"/>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41"/>
      </w:tblGrid>
      <w:tr w:rsidR="00C01D29" w:rsidRPr="00A5510B" w14:paraId="3B2A5325" w14:textId="77777777" w:rsidTr="00C01D29">
        <w:tc>
          <w:tcPr>
            <w:tcW w:w="8046" w:type="dxa"/>
            <w:vAlign w:val="center"/>
          </w:tcPr>
          <w:p w14:paraId="7D0DCCEC" w14:textId="66718032" w:rsidR="00C01D29" w:rsidRPr="00A5510B" w:rsidRDefault="009024F7" w:rsidP="006F6E10">
            <w:pPr>
              <w:autoSpaceDE w:val="0"/>
              <w:autoSpaceDN w:val="0"/>
              <w:adjustRightInd w:val="0"/>
              <w:rPr>
                <w:rFonts w:asciiTheme="majorHAnsi" w:hAnsiTheme="majorHAnsi"/>
                <w:color w:val="000000"/>
                <w:sz w:val="20"/>
                <w:szCs w:val="20"/>
              </w:rPr>
            </w:pPr>
            <m:oMath>
              <m:f>
                <m:fPr>
                  <m:ctrlPr>
                    <w:rPr>
                      <w:rFonts w:ascii="Cambria Math" w:hAnsiTheme="majorHAnsi"/>
                      <w:i/>
                      <w:color w:val="000000"/>
                      <w:sz w:val="20"/>
                      <w:szCs w:val="20"/>
                    </w:rPr>
                  </m:ctrlPr>
                </m:fPr>
                <m:num>
                  <m:sSup>
                    <m:sSupPr>
                      <m:ctrlPr>
                        <w:rPr>
                          <w:rFonts w:ascii="Cambria Math" w:hAnsi="Cambria Math"/>
                          <w:i/>
                          <w:color w:val="000000"/>
                          <w:sz w:val="20"/>
                          <w:szCs w:val="20"/>
                        </w:rPr>
                      </m:ctrlPr>
                    </m:sSupPr>
                    <m:e>
                      <m:r>
                        <w:rPr>
                          <w:rFonts w:ascii="Cambria Math" w:hAnsi="Cambria Math"/>
                          <w:color w:val="000000"/>
                          <w:sz w:val="20"/>
                          <w:szCs w:val="20"/>
                        </w:rPr>
                        <m:t>d</m:t>
                      </m:r>
                    </m:e>
                    <m:sup>
                      <m:r>
                        <w:rPr>
                          <w:rFonts w:ascii="Cambria Math" w:hAnsi="Cambria Math"/>
                          <w:color w:val="000000"/>
                          <w:sz w:val="20"/>
                          <w:szCs w:val="20"/>
                        </w:rPr>
                        <m:t>2</m:t>
                      </m:r>
                    </m:sup>
                  </m:sSup>
                </m:num>
                <m:den>
                  <m:r>
                    <w:rPr>
                      <w:rFonts w:ascii="Cambria Math" w:hAnsi="Cambria Math"/>
                      <w:color w:val="000000"/>
                      <w:sz w:val="20"/>
                      <w:szCs w:val="20"/>
                    </w:rPr>
                    <m:t>d</m:t>
                  </m:r>
                  <m:sSup>
                    <m:sSupPr>
                      <m:ctrlPr>
                        <w:rPr>
                          <w:rFonts w:ascii="Cambria Math" w:hAnsi="Cambria Math"/>
                          <w:i/>
                          <w:color w:val="000000"/>
                          <w:sz w:val="20"/>
                          <w:szCs w:val="20"/>
                        </w:rPr>
                      </m:ctrlPr>
                    </m:sSupPr>
                    <m:e>
                      <m:r>
                        <w:rPr>
                          <w:rFonts w:ascii="Cambria Math" w:hAnsi="Cambria Math"/>
                          <w:color w:val="000000"/>
                          <w:sz w:val="20"/>
                          <w:szCs w:val="20"/>
                        </w:rPr>
                        <m:t>x</m:t>
                      </m:r>
                    </m:e>
                    <m:sup>
                      <m:r>
                        <w:rPr>
                          <w:rFonts w:ascii="Cambria Math" w:hAnsi="Cambria Math"/>
                          <w:color w:val="000000"/>
                          <w:sz w:val="20"/>
                          <w:szCs w:val="20"/>
                        </w:rPr>
                        <m:t>2</m:t>
                      </m:r>
                    </m:sup>
                  </m:sSup>
                </m:den>
              </m:f>
              <m:d>
                <m:dPr>
                  <m:begChr m:val="["/>
                  <m:endChr m:val="]"/>
                  <m:ctrlPr>
                    <w:rPr>
                      <w:rFonts w:ascii="Cambria Math" w:hAnsiTheme="majorHAnsi"/>
                      <w:i/>
                      <w:color w:val="000000"/>
                      <w:sz w:val="20"/>
                      <w:szCs w:val="20"/>
                    </w:rPr>
                  </m:ctrlPr>
                </m:dPr>
                <m:e>
                  <m:r>
                    <w:rPr>
                      <w:rFonts w:ascii="Cambria Math" w:hAnsiTheme="majorHAnsi"/>
                      <w:color w:val="000000"/>
                      <w:sz w:val="20"/>
                      <w:szCs w:val="20"/>
                    </w:rPr>
                    <m:t>EI(x)</m:t>
                  </m:r>
                  <m:f>
                    <m:fPr>
                      <m:ctrlPr>
                        <w:rPr>
                          <w:rFonts w:ascii="Cambria Math" w:hAnsiTheme="majorHAnsi"/>
                          <w:i/>
                          <w:color w:val="000000"/>
                          <w:sz w:val="20"/>
                          <w:szCs w:val="20"/>
                        </w:rPr>
                      </m:ctrlPr>
                    </m:fPr>
                    <m:num>
                      <m:sSup>
                        <m:sSupPr>
                          <m:ctrlPr>
                            <w:rPr>
                              <w:rFonts w:ascii="Cambria Math" w:hAnsi="Cambria Math"/>
                              <w:i/>
                              <w:color w:val="000000"/>
                              <w:sz w:val="20"/>
                              <w:szCs w:val="20"/>
                            </w:rPr>
                          </m:ctrlPr>
                        </m:sSupPr>
                        <m:e>
                          <m:r>
                            <w:rPr>
                              <w:rFonts w:ascii="Cambria Math" w:hAnsi="Cambria Math"/>
                              <w:color w:val="000000"/>
                              <w:sz w:val="20"/>
                              <w:szCs w:val="20"/>
                            </w:rPr>
                            <m:t>d</m:t>
                          </m:r>
                        </m:e>
                        <m:sup>
                          <m:r>
                            <w:rPr>
                              <w:rFonts w:ascii="Cambria Math" w:hAnsi="Cambria Math"/>
                              <w:color w:val="000000"/>
                              <w:sz w:val="20"/>
                              <w:szCs w:val="20"/>
                            </w:rPr>
                            <m:t>2</m:t>
                          </m:r>
                        </m:sup>
                      </m:sSup>
                      <m:r>
                        <w:rPr>
                          <w:rFonts w:ascii="Cambria Math" w:hAnsi="Cambria Math"/>
                          <w:color w:val="000000"/>
                          <w:sz w:val="20"/>
                          <w:szCs w:val="20"/>
                        </w:rPr>
                        <m:t>y</m:t>
                      </m:r>
                    </m:num>
                    <m:den>
                      <m:r>
                        <w:rPr>
                          <w:rFonts w:ascii="Cambria Math" w:hAnsi="Cambria Math"/>
                          <w:color w:val="000000"/>
                          <w:sz w:val="20"/>
                          <w:szCs w:val="20"/>
                        </w:rPr>
                        <m:t>d</m:t>
                      </m:r>
                      <m:sSup>
                        <m:sSupPr>
                          <m:ctrlPr>
                            <w:rPr>
                              <w:rFonts w:ascii="Cambria Math" w:hAnsi="Cambria Math"/>
                              <w:i/>
                              <w:color w:val="000000"/>
                              <w:sz w:val="20"/>
                              <w:szCs w:val="20"/>
                            </w:rPr>
                          </m:ctrlPr>
                        </m:sSupPr>
                        <m:e>
                          <m:r>
                            <w:rPr>
                              <w:rFonts w:ascii="Cambria Math" w:hAnsi="Cambria Math"/>
                              <w:color w:val="000000"/>
                              <w:sz w:val="20"/>
                              <w:szCs w:val="20"/>
                            </w:rPr>
                            <m:t>x</m:t>
                          </m:r>
                        </m:e>
                        <m:sup>
                          <m:r>
                            <w:rPr>
                              <w:rFonts w:ascii="Cambria Math" w:hAnsi="Cambria Math"/>
                              <w:color w:val="000000"/>
                              <w:sz w:val="20"/>
                              <w:szCs w:val="20"/>
                            </w:rPr>
                            <m:t>2</m:t>
                          </m:r>
                        </m:sup>
                      </m:sSup>
                    </m:den>
                  </m:f>
                </m:e>
              </m:d>
              <m:r>
                <w:rPr>
                  <w:rFonts w:ascii="Cambria Math" w:hAnsiTheme="majorHAnsi"/>
                  <w:color w:val="000000"/>
                  <w:sz w:val="20"/>
                  <w:szCs w:val="20"/>
                </w:rPr>
                <m:t>+P</m:t>
              </m:r>
              <m:f>
                <m:fPr>
                  <m:ctrlPr>
                    <w:rPr>
                      <w:rFonts w:ascii="Cambria Math" w:hAnsiTheme="majorHAnsi"/>
                      <w:i/>
                      <w:color w:val="000000"/>
                      <w:sz w:val="20"/>
                      <w:szCs w:val="20"/>
                    </w:rPr>
                  </m:ctrlPr>
                </m:fPr>
                <m:num>
                  <m:sSup>
                    <m:sSupPr>
                      <m:ctrlPr>
                        <w:rPr>
                          <w:rFonts w:ascii="Cambria Math" w:hAnsi="Cambria Math"/>
                          <w:i/>
                          <w:color w:val="000000"/>
                          <w:sz w:val="20"/>
                          <w:szCs w:val="20"/>
                        </w:rPr>
                      </m:ctrlPr>
                    </m:sSupPr>
                    <m:e>
                      <m:r>
                        <w:rPr>
                          <w:rFonts w:ascii="Cambria Math" w:hAnsi="Cambria Math"/>
                          <w:color w:val="000000"/>
                          <w:sz w:val="20"/>
                          <w:szCs w:val="20"/>
                        </w:rPr>
                        <m:t>d</m:t>
                      </m:r>
                    </m:e>
                    <m:sup>
                      <m:r>
                        <w:rPr>
                          <w:rFonts w:ascii="Cambria Math" w:hAnsi="Cambria Math"/>
                          <w:color w:val="000000"/>
                          <w:sz w:val="20"/>
                          <w:szCs w:val="20"/>
                        </w:rPr>
                        <m:t>2</m:t>
                      </m:r>
                    </m:sup>
                  </m:sSup>
                  <m:r>
                    <w:rPr>
                      <w:rFonts w:ascii="Cambria Math" w:hAnsi="Cambria Math"/>
                      <w:color w:val="000000"/>
                      <w:sz w:val="20"/>
                      <w:szCs w:val="20"/>
                    </w:rPr>
                    <m:t>y</m:t>
                  </m:r>
                </m:num>
                <m:den>
                  <m:r>
                    <w:rPr>
                      <w:rFonts w:ascii="Cambria Math" w:hAnsi="Cambria Math"/>
                      <w:color w:val="000000"/>
                      <w:sz w:val="20"/>
                      <w:szCs w:val="20"/>
                    </w:rPr>
                    <m:t>d</m:t>
                  </m:r>
                  <m:sSup>
                    <m:sSupPr>
                      <m:ctrlPr>
                        <w:rPr>
                          <w:rFonts w:ascii="Cambria Math" w:hAnsi="Cambria Math"/>
                          <w:i/>
                          <w:color w:val="000000"/>
                          <w:sz w:val="20"/>
                          <w:szCs w:val="20"/>
                        </w:rPr>
                      </m:ctrlPr>
                    </m:sSupPr>
                    <m:e>
                      <m:r>
                        <w:rPr>
                          <w:rFonts w:ascii="Cambria Math" w:hAnsi="Cambria Math"/>
                          <w:color w:val="000000"/>
                          <w:sz w:val="20"/>
                          <w:szCs w:val="20"/>
                        </w:rPr>
                        <m:t>x</m:t>
                      </m:r>
                    </m:e>
                    <m:sup>
                      <m:r>
                        <w:rPr>
                          <w:rFonts w:ascii="Cambria Math" w:hAnsi="Cambria Math"/>
                          <w:color w:val="000000"/>
                          <w:sz w:val="20"/>
                          <w:szCs w:val="20"/>
                        </w:rPr>
                        <m:t>2</m:t>
                      </m:r>
                    </m:sup>
                  </m:sSup>
                </m:den>
              </m:f>
              <m:r>
                <w:rPr>
                  <w:rFonts w:ascii="Cambria Math" w:hAnsiTheme="majorHAnsi"/>
                  <w:color w:val="000000"/>
                  <w:sz w:val="20"/>
                  <w:szCs w:val="20"/>
                </w:rPr>
                <m:t>+</m:t>
              </m:r>
              <m:f>
                <m:fPr>
                  <m:ctrlPr>
                    <w:rPr>
                      <w:rFonts w:ascii="Cambria Math" w:hAnsiTheme="majorHAnsi"/>
                      <w:i/>
                      <w:color w:val="000000"/>
                      <w:sz w:val="20"/>
                      <w:szCs w:val="20"/>
                    </w:rPr>
                  </m:ctrlPr>
                </m:fPr>
                <m:num>
                  <m:r>
                    <w:rPr>
                      <w:rFonts w:ascii="Cambria Math" w:hAnsiTheme="majorHAnsi"/>
                      <w:color w:val="000000"/>
                      <w:sz w:val="20"/>
                      <w:szCs w:val="20"/>
                    </w:rPr>
                    <m:t>1</m:t>
                  </m:r>
                </m:num>
                <m:den>
                  <m:r>
                    <w:rPr>
                      <w:rFonts w:ascii="Cambria Math" w:hAnsiTheme="majorHAnsi"/>
                      <w:color w:val="000000"/>
                      <w:sz w:val="20"/>
                      <w:szCs w:val="20"/>
                    </w:rPr>
                    <m:t>2L</m:t>
                  </m:r>
                </m:den>
              </m:f>
              <m:r>
                <w:rPr>
                  <w:rFonts w:ascii="Cambria Math" w:hAnsi="Cambria Math"/>
                  <w:color w:val="000000"/>
                  <w:sz w:val="20"/>
                  <w:szCs w:val="20"/>
                </w:rPr>
                <m:t>ρ</m:t>
              </m:r>
              <m:sSup>
                <m:sSupPr>
                  <m:ctrlPr>
                    <w:rPr>
                      <w:rFonts w:ascii="Cambria Math" w:hAnsiTheme="majorHAnsi"/>
                      <w:i/>
                      <w:color w:val="000000"/>
                      <w:sz w:val="20"/>
                      <w:szCs w:val="20"/>
                    </w:rPr>
                  </m:ctrlPr>
                </m:sSupPr>
                <m:e>
                  <m:r>
                    <w:rPr>
                      <w:rFonts w:ascii="Cambria Math" w:hAnsiTheme="majorHAnsi"/>
                      <w:color w:val="000000"/>
                      <w:sz w:val="20"/>
                      <w:szCs w:val="20"/>
                    </w:rPr>
                    <m:t>U</m:t>
                  </m:r>
                </m:e>
                <m:sup>
                  <m:r>
                    <w:rPr>
                      <w:rFonts w:ascii="Cambria Math" w:hAnsiTheme="majorHAnsi"/>
                      <w:color w:val="000000"/>
                      <w:sz w:val="20"/>
                      <w:szCs w:val="20"/>
                    </w:rPr>
                    <m:t>2</m:t>
                  </m:r>
                </m:sup>
              </m:sSup>
              <m:r>
                <w:rPr>
                  <w:rFonts w:ascii="Cambria Math" w:hAnsiTheme="majorHAnsi"/>
                  <w:color w:val="000000"/>
                  <w:sz w:val="20"/>
                  <w:szCs w:val="20"/>
                </w:rPr>
                <m:t>D</m:t>
              </m:r>
              <m:d>
                <m:dPr>
                  <m:ctrlPr>
                    <w:rPr>
                      <w:rFonts w:ascii="Cambria Math" w:hAnsiTheme="majorHAnsi"/>
                      <w:i/>
                      <w:color w:val="000000"/>
                      <w:sz w:val="20"/>
                      <w:szCs w:val="20"/>
                    </w:rPr>
                  </m:ctrlPr>
                </m:dPr>
                <m:e>
                  <m:r>
                    <w:rPr>
                      <w:rFonts w:ascii="Cambria Math" w:hAnsiTheme="majorHAnsi"/>
                      <w:color w:val="000000"/>
                      <w:sz w:val="20"/>
                      <w:szCs w:val="20"/>
                    </w:rPr>
                    <m:t>x</m:t>
                  </m:r>
                </m:e>
              </m:d>
              <m:sSub>
                <m:sSubPr>
                  <m:ctrlPr>
                    <w:rPr>
                      <w:rFonts w:ascii="Cambria Math" w:hAnsiTheme="majorHAnsi"/>
                      <w:i/>
                      <w:color w:val="000000"/>
                      <w:sz w:val="20"/>
                      <w:szCs w:val="20"/>
                    </w:rPr>
                  </m:ctrlPr>
                </m:sSubPr>
                <m:e>
                  <m:r>
                    <w:rPr>
                      <w:rFonts w:ascii="Cambria Math" w:hAnsiTheme="majorHAnsi"/>
                      <w:color w:val="000000"/>
                      <w:sz w:val="20"/>
                      <w:szCs w:val="20"/>
                    </w:rPr>
                    <m:t>C</m:t>
                  </m:r>
                </m:e>
                <m:sub>
                  <m:r>
                    <w:rPr>
                      <w:rFonts w:ascii="Cambria Math" w:hAnsiTheme="majorHAnsi"/>
                      <w:color w:val="000000"/>
                      <w:sz w:val="20"/>
                      <w:szCs w:val="20"/>
                    </w:rPr>
                    <m:t>D</m:t>
                  </m:r>
                </m:sub>
              </m:sSub>
              <m:r>
                <w:rPr>
                  <w:rFonts w:ascii="Cambria Math" w:hAnsiTheme="majorHAnsi"/>
                  <w:color w:val="000000"/>
                  <w:sz w:val="20"/>
                  <w:szCs w:val="20"/>
                </w:rPr>
                <m:t>=</m:t>
              </m:r>
              <m:r>
                <w:rPr>
                  <w:rFonts w:ascii="Cambria Math" w:hAnsiTheme="majorHAnsi"/>
                  <w:color w:val="000000"/>
                  <w:sz w:val="20"/>
                  <w:szCs w:val="20"/>
                </w:rPr>
                <m:t>0</m:t>
              </m:r>
            </m:oMath>
            <w:r w:rsidR="00E9675F">
              <w:rPr>
                <w:rFonts w:asciiTheme="majorHAnsi" w:hAnsiTheme="majorHAnsi"/>
                <w:color w:val="000000"/>
                <w:sz w:val="20"/>
                <w:szCs w:val="20"/>
              </w:rPr>
              <w:t>,</w:t>
            </w:r>
          </w:p>
        </w:tc>
        <w:tc>
          <w:tcPr>
            <w:tcW w:w="1241" w:type="dxa"/>
            <w:vAlign w:val="center"/>
          </w:tcPr>
          <w:p w14:paraId="157B6DA7" w14:textId="77777777" w:rsidR="00C01D29" w:rsidRPr="00A5510B" w:rsidRDefault="00C01D29" w:rsidP="00C01D29">
            <w:pPr>
              <w:autoSpaceDE w:val="0"/>
              <w:autoSpaceDN w:val="0"/>
              <w:adjustRightInd w:val="0"/>
              <w:jc w:val="right"/>
              <w:rPr>
                <w:rFonts w:asciiTheme="majorHAnsi" w:hAnsiTheme="majorHAnsi"/>
                <w:color w:val="000000"/>
                <w:sz w:val="20"/>
                <w:szCs w:val="20"/>
              </w:rPr>
            </w:pPr>
            <w:r w:rsidRPr="00A5510B">
              <w:rPr>
                <w:rFonts w:asciiTheme="majorHAnsi" w:hAnsiTheme="majorHAnsi"/>
                <w:color w:val="000000"/>
                <w:sz w:val="20"/>
                <w:szCs w:val="20"/>
              </w:rPr>
              <w:t>(1)</w:t>
            </w:r>
          </w:p>
        </w:tc>
      </w:tr>
    </w:tbl>
    <w:p w14:paraId="1F74F10F" w14:textId="529D0A4C" w:rsidR="006F6E10" w:rsidRPr="006F6E10" w:rsidRDefault="00B66A4E" w:rsidP="00E9675F">
      <w:pPr>
        <w:autoSpaceDE w:val="0"/>
        <w:autoSpaceDN w:val="0"/>
        <w:adjustRightInd w:val="0"/>
        <w:jc w:val="both"/>
        <w:rPr>
          <w:color w:val="000000"/>
          <w:sz w:val="20"/>
          <w:szCs w:val="20"/>
        </w:rPr>
      </w:pPr>
      <w:proofErr w:type="gramStart"/>
      <w:r>
        <w:rPr>
          <w:color w:val="000000"/>
          <w:sz w:val="20"/>
          <w:szCs w:val="20"/>
        </w:rPr>
        <w:t>w</w:t>
      </w:r>
      <w:r w:rsidR="00F01F33">
        <w:rPr>
          <w:color w:val="000000"/>
          <w:sz w:val="20"/>
          <w:szCs w:val="20"/>
        </w:rPr>
        <w:t>here</w:t>
      </w:r>
      <w:proofErr w:type="gramEnd"/>
      <w:r>
        <w:rPr>
          <w:color w:val="000000"/>
          <w:sz w:val="20"/>
          <w:szCs w:val="20"/>
        </w:rPr>
        <w:t xml:space="preserve"> </w:t>
      </w:r>
      <m:oMath>
        <m:r>
          <w:rPr>
            <w:rFonts w:ascii="Cambria Math" w:hAnsi="Cambria Math"/>
            <w:color w:val="000000"/>
            <w:sz w:val="20"/>
            <w:szCs w:val="20"/>
          </w:rPr>
          <m:t>y</m:t>
        </m:r>
      </m:oMath>
      <w:r>
        <w:rPr>
          <w:color w:val="000000"/>
          <w:sz w:val="20"/>
          <w:szCs w:val="20"/>
        </w:rPr>
        <w:t xml:space="preserve"> </w:t>
      </w:r>
      <w:r w:rsidR="00542FC8">
        <w:rPr>
          <w:color w:val="000000"/>
          <w:sz w:val="20"/>
          <w:szCs w:val="20"/>
        </w:rPr>
        <w:t xml:space="preserve"> is the beam transverse displacement, </w:t>
      </w:r>
      <m:oMath>
        <m:r>
          <w:rPr>
            <w:rFonts w:ascii="Cambria Math" w:hAnsi="Cambria Math"/>
            <w:color w:val="000000"/>
            <w:sz w:val="20"/>
            <w:szCs w:val="20"/>
          </w:rPr>
          <m:t>x</m:t>
        </m:r>
      </m:oMath>
      <w:r w:rsidR="006F6E10">
        <w:rPr>
          <w:color w:val="000000"/>
          <w:sz w:val="20"/>
          <w:szCs w:val="20"/>
        </w:rPr>
        <w:t xml:space="preserve"> is axial coordinate,</w:t>
      </w:r>
      <m:oMath>
        <m:r>
          <w:rPr>
            <w:rFonts w:ascii="Cambria Math" w:hAnsi="Cambria Math"/>
            <w:color w:val="000000"/>
            <w:sz w:val="20"/>
            <w:szCs w:val="20"/>
          </w:rPr>
          <m:t xml:space="preserve"> </m:t>
        </m:r>
        <m:r>
          <w:rPr>
            <w:rFonts w:ascii="Cambria Math" w:hAnsi="Cambria Math"/>
            <w:color w:val="000000"/>
            <w:sz w:val="20"/>
            <w:szCs w:val="20"/>
          </w:rPr>
          <m:t>E</m:t>
        </m:r>
      </m:oMath>
      <w:r w:rsidR="006F6E10">
        <w:rPr>
          <w:color w:val="000000"/>
          <w:sz w:val="20"/>
          <w:szCs w:val="20"/>
        </w:rPr>
        <w:t xml:space="preserve"> and </w:t>
      </w:r>
      <m:oMath>
        <m:r>
          <w:rPr>
            <w:rFonts w:ascii="Cambria Math" w:hAnsi="Cambria Math"/>
            <w:color w:val="000000"/>
            <w:sz w:val="20"/>
            <w:szCs w:val="20"/>
          </w:rPr>
          <m:t>I(x)</m:t>
        </m:r>
      </m:oMath>
      <w:r w:rsidR="006F6E10">
        <w:rPr>
          <w:color w:val="000000"/>
          <w:sz w:val="20"/>
          <w:szCs w:val="20"/>
        </w:rPr>
        <w:t xml:space="preserve"> express Young’s modulus of elasticity and variable moment of inertia of column’s cross-section, respectively. </w:t>
      </w:r>
      <m:oMath>
        <m:f>
          <m:fPr>
            <m:ctrlPr>
              <w:rPr>
                <w:rFonts w:ascii="Cambria Math" w:hAnsiTheme="majorHAnsi"/>
                <w:i/>
                <w:color w:val="000000"/>
                <w:sz w:val="20"/>
                <w:szCs w:val="20"/>
              </w:rPr>
            </m:ctrlPr>
          </m:fPr>
          <m:num>
            <m:r>
              <w:rPr>
                <w:rFonts w:ascii="Cambria Math" w:hAnsiTheme="majorHAnsi"/>
                <w:color w:val="000000"/>
                <w:sz w:val="20"/>
                <w:szCs w:val="20"/>
              </w:rPr>
              <m:t>1</m:t>
            </m:r>
          </m:num>
          <m:den>
            <m:r>
              <w:rPr>
                <w:rFonts w:ascii="Cambria Math" w:hAnsiTheme="majorHAnsi"/>
                <w:color w:val="000000"/>
                <w:sz w:val="20"/>
                <w:szCs w:val="20"/>
              </w:rPr>
              <m:t>2L</m:t>
            </m:r>
          </m:den>
        </m:f>
        <m:r>
          <w:rPr>
            <w:rFonts w:ascii="Cambria Math" w:hAnsi="Cambria Math"/>
            <w:color w:val="000000"/>
            <w:sz w:val="20"/>
            <w:szCs w:val="20"/>
          </w:rPr>
          <m:t>ρ</m:t>
        </m:r>
        <m:sSup>
          <m:sSupPr>
            <m:ctrlPr>
              <w:rPr>
                <w:rFonts w:ascii="Cambria Math" w:hAnsiTheme="majorHAnsi"/>
                <w:i/>
                <w:color w:val="000000"/>
                <w:sz w:val="20"/>
                <w:szCs w:val="20"/>
              </w:rPr>
            </m:ctrlPr>
          </m:sSupPr>
          <m:e>
            <m:r>
              <w:rPr>
                <w:rFonts w:ascii="Cambria Math" w:hAnsiTheme="majorHAnsi"/>
                <w:color w:val="000000"/>
                <w:sz w:val="20"/>
                <w:szCs w:val="20"/>
              </w:rPr>
              <m:t>U</m:t>
            </m:r>
          </m:e>
          <m:sup>
            <m:r>
              <w:rPr>
                <w:rFonts w:ascii="Cambria Math" w:hAnsiTheme="majorHAnsi"/>
                <w:color w:val="000000"/>
                <w:sz w:val="20"/>
                <w:szCs w:val="20"/>
              </w:rPr>
              <m:t>2</m:t>
            </m:r>
          </m:sup>
        </m:sSup>
        <m:r>
          <w:rPr>
            <w:rFonts w:ascii="Cambria Math" w:hAnsiTheme="majorHAnsi"/>
            <w:color w:val="000000"/>
            <w:sz w:val="20"/>
            <w:szCs w:val="20"/>
          </w:rPr>
          <m:t>D</m:t>
        </m:r>
        <m:d>
          <m:dPr>
            <m:ctrlPr>
              <w:rPr>
                <w:rFonts w:ascii="Cambria Math" w:hAnsiTheme="majorHAnsi"/>
                <w:i/>
                <w:color w:val="000000"/>
                <w:sz w:val="20"/>
                <w:szCs w:val="20"/>
              </w:rPr>
            </m:ctrlPr>
          </m:dPr>
          <m:e>
            <m:r>
              <w:rPr>
                <w:rFonts w:ascii="Cambria Math" w:hAnsiTheme="majorHAnsi"/>
                <w:color w:val="000000"/>
                <w:sz w:val="20"/>
                <w:szCs w:val="20"/>
              </w:rPr>
              <m:t>x</m:t>
            </m:r>
          </m:e>
        </m:d>
        <m:sSub>
          <m:sSubPr>
            <m:ctrlPr>
              <w:rPr>
                <w:rFonts w:ascii="Cambria Math" w:hAnsiTheme="majorHAnsi"/>
                <w:i/>
                <w:color w:val="000000"/>
                <w:sz w:val="20"/>
                <w:szCs w:val="20"/>
              </w:rPr>
            </m:ctrlPr>
          </m:sSubPr>
          <m:e>
            <m:r>
              <w:rPr>
                <w:rFonts w:ascii="Cambria Math" w:hAnsiTheme="majorHAnsi"/>
                <w:color w:val="000000"/>
                <w:sz w:val="20"/>
                <w:szCs w:val="20"/>
              </w:rPr>
              <m:t>C</m:t>
            </m:r>
          </m:e>
          <m:sub>
            <m:r>
              <w:rPr>
                <w:rFonts w:ascii="Cambria Math" w:hAnsiTheme="majorHAnsi"/>
                <w:color w:val="000000"/>
                <w:sz w:val="20"/>
                <w:szCs w:val="20"/>
              </w:rPr>
              <m:t>D</m:t>
            </m:r>
          </m:sub>
        </m:sSub>
      </m:oMath>
      <w:r w:rsidR="006F6E10">
        <w:rPr>
          <w:color w:val="000000"/>
          <w:sz w:val="20"/>
          <w:szCs w:val="20"/>
        </w:rPr>
        <w:t xml:space="preserve"> </w:t>
      </w:r>
      <w:proofErr w:type="gramStart"/>
      <w:r w:rsidR="006F6E10">
        <w:rPr>
          <w:color w:val="000000"/>
          <w:sz w:val="20"/>
          <w:szCs w:val="20"/>
        </w:rPr>
        <w:t>is</w:t>
      </w:r>
      <w:proofErr w:type="gramEnd"/>
      <w:r w:rsidR="006F6E10">
        <w:rPr>
          <w:color w:val="000000"/>
          <w:sz w:val="20"/>
          <w:szCs w:val="20"/>
        </w:rPr>
        <w:t xml:space="preserve"> the lateral fluid load in term of drag coefficient [3], with a dimension of a force per unit length . U is flow velocity, </w:t>
      </w:r>
      <m:oMath>
        <m:r>
          <w:rPr>
            <w:rFonts w:ascii="Cambria Math" w:hAnsi="Cambria Math"/>
            <w:color w:val="000000"/>
            <w:sz w:val="20"/>
            <w:szCs w:val="20"/>
          </w:rPr>
          <m:t>ρ</m:t>
        </m:r>
      </m:oMath>
      <w:r w:rsidR="006F6E10">
        <w:rPr>
          <w:color w:val="000000"/>
          <w:sz w:val="20"/>
          <w:szCs w:val="20"/>
        </w:rPr>
        <w:t xml:space="preserve"> the volume </w:t>
      </w:r>
      <w:r w:rsidR="00E9675F">
        <w:rPr>
          <w:color w:val="000000"/>
          <w:sz w:val="20"/>
          <w:szCs w:val="20"/>
        </w:rPr>
        <w:t xml:space="preserve">mass, </w:t>
      </w:r>
      <m:oMath>
        <m:sSub>
          <m:sSubPr>
            <m:ctrlPr>
              <w:rPr>
                <w:rFonts w:ascii="Cambria Math" w:hAnsiTheme="majorHAnsi"/>
                <w:i/>
                <w:color w:val="000000"/>
                <w:sz w:val="20"/>
                <w:szCs w:val="20"/>
              </w:rPr>
            </m:ctrlPr>
          </m:sSubPr>
          <m:e>
            <m:r>
              <w:rPr>
                <w:rFonts w:ascii="Cambria Math" w:hAnsiTheme="majorHAnsi"/>
                <w:color w:val="000000"/>
                <w:sz w:val="20"/>
                <w:szCs w:val="20"/>
              </w:rPr>
              <m:t>C</m:t>
            </m:r>
          </m:e>
          <m:sub>
            <m:r>
              <w:rPr>
                <w:rFonts w:ascii="Cambria Math" w:hAnsiTheme="majorHAnsi"/>
                <w:color w:val="000000"/>
                <w:sz w:val="20"/>
                <w:szCs w:val="20"/>
              </w:rPr>
              <m:t>D</m:t>
            </m:r>
          </m:sub>
        </m:sSub>
      </m:oMath>
      <w:r w:rsidR="00E9675F">
        <w:rPr>
          <w:color w:val="000000"/>
          <w:sz w:val="20"/>
          <w:szCs w:val="20"/>
        </w:rPr>
        <w:t xml:space="preserve"> the drag coefficient, </w:t>
      </w:r>
      <m:oMath>
        <m:r>
          <w:rPr>
            <w:rFonts w:ascii="Cambria Math" w:hAnsiTheme="majorHAnsi"/>
            <w:color w:val="000000"/>
            <w:sz w:val="20"/>
            <w:szCs w:val="20"/>
          </w:rPr>
          <m:t>D</m:t>
        </m:r>
        <m:d>
          <m:dPr>
            <m:ctrlPr>
              <w:rPr>
                <w:rFonts w:ascii="Cambria Math" w:hAnsiTheme="majorHAnsi"/>
                <w:i/>
                <w:color w:val="000000"/>
                <w:sz w:val="20"/>
                <w:szCs w:val="20"/>
              </w:rPr>
            </m:ctrlPr>
          </m:dPr>
          <m:e>
            <m:r>
              <w:rPr>
                <w:rFonts w:ascii="Cambria Math" w:hAnsiTheme="majorHAnsi"/>
                <w:color w:val="000000"/>
                <w:sz w:val="20"/>
                <w:szCs w:val="20"/>
              </w:rPr>
              <m:t>x</m:t>
            </m:r>
          </m:e>
        </m:d>
      </m:oMath>
      <w:r w:rsidR="00E9675F">
        <w:rPr>
          <w:color w:val="000000"/>
          <w:sz w:val="20"/>
          <w:szCs w:val="20"/>
        </w:rPr>
        <w:t>body dimension estimated as a variable depending of beam transverse displacement. Using powers series method to solve this equation, we obtained stability functions.</w:t>
      </w:r>
    </w:p>
    <w:p w14:paraId="5274C352" w14:textId="77777777" w:rsidR="00A9295F" w:rsidRDefault="00BE279C" w:rsidP="00531E90">
      <w:pPr>
        <w:pStyle w:val="MTDisplayEquation"/>
      </w:pPr>
      <w:r>
        <w:tab/>
      </w:r>
    </w:p>
    <w:p w14:paraId="647612E7" w14:textId="77777777" w:rsidR="00592806" w:rsidRDefault="00214CB1" w:rsidP="00160B67">
      <w:pPr>
        <w:autoSpaceDE w:val="0"/>
        <w:autoSpaceDN w:val="0"/>
        <w:adjustRightInd w:val="0"/>
        <w:rPr>
          <w:b/>
          <w:color w:val="000000"/>
          <w:sz w:val="20"/>
          <w:szCs w:val="20"/>
        </w:rPr>
      </w:pPr>
      <w:r>
        <w:rPr>
          <w:b/>
          <w:color w:val="000000"/>
          <w:sz w:val="20"/>
          <w:szCs w:val="20"/>
        </w:rPr>
        <w:t xml:space="preserve">2. </w:t>
      </w:r>
      <w:r w:rsidR="00914CA2">
        <w:rPr>
          <w:b/>
          <w:color w:val="000000"/>
          <w:sz w:val="20"/>
          <w:szCs w:val="20"/>
        </w:rPr>
        <w:t>Results</w:t>
      </w:r>
    </w:p>
    <w:p w14:paraId="4A73E52C" w14:textId="09FA4B34" w:rsidR="00BD641F" w:rsidRDefault="00372DE9" w:rsidP="001A1F19">
      <w:pPr>
        <w:autoSpaceDE w:val="0"/>
        <w:autoSpaceDN w:val="0"/>
        <w:adjustRightInd w:val="0"/>
        <w:jc w:val="both"/>
        <w:rPr>
          <w:color w:val="000000"/>
          <w:sz w:val="20"/>
          <w:szCs w:val="20"/>
        </w:rPr>
      </w:pPr>
      <w:r w:rsidRPr="00372DE9">
        <w:rPr>
          <w:color w:val="000000"/>
          <w:sz w:val="20"/>
          <w:szCs w:val="20"/>
        </w:rPr>
        <w:t xml:space="preserve">The small but noticeable difference observed between the beam-column without lateral loads and the one with lateral loads (Fig. </w:t>
      </w:r>
      <w:r>
        <w:rPr>
          <w:color w:val="000000"/>
          <w:sz w:val="20"/>
          <w:szCs w:val="20"/>
        </w:rPr>
        <w:t>1</w:t>
      </w:r>
      <w:r w:rsidRPr="00372DE9">
        <w:rPr>
          <w:color w:val="000000"/>
          <w:sz w:val="20"/>
          <w:szCs w:val="20"/>
        </w:rPr>
        <w:t xml:space="preserve">), show the impact of lateral loads considered in this study on the beam. This low impact can comes from the fact that we considered the fluid flow here as being a stable fluid with little backwash. As we can observe in Fig. </w:t>
      </w:r>
      <w:r>
        <w:rPr>
          <w:color w:val="000000"/>
          <w:sz w:val="20"/>
          <w:szCs w:val="20"/>
        </w:rPr>
        <w:t>2</w:t>
      </w:r>
      <w:r w:rsidRPr="00372DE9">
        <w:rPr>
          <w:color w:val="000000"/>
          <w:sz w:val="20"/>
          <w:szCs w:val="20"/>
        </w:rPr>
        <w:t xml:space="preserve">, stability function increases when beam-column length becomes important and this is in accordance with results obtained by Al-Sadder [4] when </w:t>
      </w:r>
      <w:r>
        <w:rPr>
          <w:color w:val="000000"/>
          <w:sz w:val="20"/>
          <w:szCs w:val="20"/>
        </w:rPr>
        <w:t>the</w:t>
      </w:r>
      <w:r w:rsidRPr="00372DE9">
        <w:rPr>
          <w:color w:val="000000"/>
          <w:sz w:val="20"/>
          <w:szCs w:val="20"/>
        </w:rPr>
        <w:t xml:space="preserve"> depth ratios value was increased. The influence of fluid lateral load combined to axial load on elastic stability becomes significant here for high values </w:t>
      </w:r>
      <w:proofErr w:type="gramStart"/>
      <w:r w:rsidRPr="00372DE9">
        <w:rPr>
          <w:color w:val="000000"/>
          <w:sz w:val="20"/>
          <w:szCs w:val="20"/>
        </w:rPr>
        <w:t>of  beam</w:t>
      </w:r>
      <w:proofErr w:type="gramEnd"/>
      <w:r w:rsidRPr="00372DE9">
        <w:rPr>
          <w:color w:val="000000"/>
          <w:sz w:val="20"/>
          <w:szCs w:val="20"/>
        </w:rPr>
        <w:t xml:space="preserve">-columns length. </w:t>
      </w:r>
    </w:p>
    <w:p w14:paraId="37249C75" w14:textId="5B29EF91" w:rsidR="00BD641F" w:rsidRDefault="00372DE9" w:rsidP="001A1F19">
      <w:pPr>
        <w:autoSpaceDE w:val="0"/>
        <w:autoSpaceDN w:val="0"/>
        <w:adjustRightInd w:val="0"/>
        <w:jc w:val="both"/>
        <w:rPr>
          <w:color w:val="000000"/>
          <w:sz w:val="20"/>
          <w:szCs w:val="20"/>
        </w:rPr>
      </w:pPr>
      <w:r>
        <w:rPr>
          <w:noProof/>
          <w:color w:val="000000"/>
          <w:sz w:val="20"/>
          <w:szCs w:val="20"/>
          <w:lang w:val="fr-FR" w:eastAsia="fr-FR"/>
        </w:rPr>
        <w:drawing>
          <wp:anchor distT="0" distB="0" distL="114300" distR="114300" simplePos="0" relativeHeight="251660288" behindDoc="1" locked="0" layoutInCell="1" allowOverlap="1" wp14:anchorId="4AB0B08F" wp14:editId="2B709A70">
            <wp:simplePos x="0" y="0"/>
            <wp:positionH relativeFrom="column">
              <wp:posOffset>3357245</wp:posOffset>
            </wp:positionH>
            <wp:positionV relativeFrom="paragraph">
              <wp:posOffset>97155</wp:posOffset>
            </wp:positionV>
            <wp:extent cx="2151380" cy="1219200"/>
            <wp:effectExtent l="0" t="0" r="1270" b="0"/>
            <wp:wrapTight wrapText="bothSides">
              <wp:wrapPolygon edited="0">
                <wp:start x="0" y="0"/>
                <wp:lineTo x="0" y="21263"/>
                <wp:lineTo x="21421" y="21263"/>
                <wp:lineTo x="2142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1380" cy="121920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lang w:val="fr-FR" w:eastAsia="fr-FR"/>
        </w:rPr>
        <w:drawing>
          <wp:anchor distT="0" distB="0" distL="114300" distR="114300" simplePos="0" relativeHeight="251659264" behindDoc="1" locked="0" layoutInCell="1" allowOverlap="1" wp14:anchorId="0D916AC4" wp14:editId="10E2A724">
            <wp:simplePos x="0" y="0"/>
            <wp:positionH relativeFrom="column">
              <wp:posOffset>185420</wp:posOffset>
            </wp:positionH>
            <wp:positionV relativeFrom="paragraph">
              <wp:posOffset>11430</wp:posOffset>
            </wp:positionV>
            <wp:extent cx="2581275" cy="1319530"/>
            <wp:effectExtent l="0" t="0" r="9525" b="0"/>
            <wp:wrapTight wrapText="bothSides">
              <wp:wrapPolygon edited="0">
                <wp:start x="0" y="0"/>
                <wp:lineTo x="0" y="21205"/>
                <wp:lineTo x="21520" y="21205"/>
                <wp:lineTo x="2152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275" cy="1319530"/>
                    </a:xfrm>
                    <a:prstGeom prst="rect">
                      <a:avLst/>
                    </a:prstGeom>
                  </pic:spPr>
                </pic:pic>
              </a:graphicData>
            </a:graphic>
            <wp14:sizeRelH relativeFrom="page">
              <wp14:pctWidth>0</wp14:pctWidth>
            </wp14:sizeRelH>
            <wp14:sizeRelV relativeFrom="page">
              <wp14:pctHeight>0</wp14:pctHeight>
            </wp14:sizeRelV>
          </wp:anchor>
        </w:drawing>
      </w:r>
    </w:p>
    <w:p w14:paraId="12930EA5" w14:textId="77777777" w:rsidR="00BD641F" w:rsidRDefault="00BD641F" w:rsidP="001A1F19">
      <w:pPr>
        <w:autoSpaceDE w:val="0"/>
        <w:autoSpaceDN w:val="0"/>
        <w:adjustRightInd w:val="0"/>
        <w:jc w:val="both"/>
        <w:rPr>
          <w:color w:val="000000"/>
          <w:sz w:val="20"/>
          <w:szCs w:val="20"/>
        </w:rPr>
      </w:pPr>
    </w:p>
    <w:p w14:paraId="0387F94E" w14:textId="1A9F18F5" w:rsidR="00BD641F" w:rsidRDefault="00BD641F" w:rsidP="00BD641F">
      <w:pPr>
        <w:autoSpaceDE w:val="0"/>
        <w:autoSpaceDN w:val="0"/>
        <w:adjustRightInd w:val="0"/>
        <w:jc w:val="both"/>
        <w:rPr>
          <w:color w:val="000000"/>
          <w:sz w:val="20"/>
          <w:szCs w:val="20"/>
        </w:rPr>
      </w:pPr>
    </w:p>
    <w:p w14:paraId="1273CCD4" w14:textId="77777777" w:rsidR="00BD641F" w:rsidRDefault="00BD641F" w:rsidP="00365D1F">
      <w:pPr>
        <w:autoSpaceDE w:val="0"/>
        <w:autoSpaceDN w:val="0"/>
        <w:adjustRightInd w:val="0"/>
        <w:rPr>
          <w:color w:val="000000"/>
          <w:sz w:val="20"/>
          <w:szCs w:val="20"/>
        </w:rPr>
      </w:pPr>
    </w:p>
    <w:p w14:paraId="7F8589EC" w14:textId="77777777" w:rsidR="00BD641F" w:rsidRDefault="00BD641F" w:rsidP="00365D1F">
      <w:pPr>
        <w:autoSpaceDE w:val="0"/>
        <w:autoSpaceDN w:val="0"/>
        <w:adjustRightInd w:val="0"/>
        <w:rPr>
          <w:color w:val="000000"/>
          <w:sz w:val="20"/>
          <w:szCs w:val="20"/>
        </w:rPr>
      </w:pPr>
    </w:p>
    <w:p w14:paraId="410929AE" w14:textId="77777777" w:rsidR="00BD641F" w:rsidRDefault="00BD641F" w:rsidP="00365D1F">
      <w:pPr>
        <w:autoSpaceDE w:val="0"/>
        <w:autoSpaceDN w:val="0"/>
        <w:adjustRightInd w:val="0"/>
        <w:rPr>
          <w:color w:val="000000"/>
          <w:sz w:val="20"/>
          <w:szCs w:val="20"/>
        </w:rPr>
      </w:pPr>
    </w:p>
    <w:p w14:paraId="1790D74C" w14:textId="77777777" w:rsidR="00BD641F" w:rsidRDefault="00BD641F" w:rsidP="00365D1F">
      <w:pPr>
        <w:autoSpaceDE w:val="0"/>
        <w:autoSpaceDN w:val="0"/>
        <w:adjustRightInd w:val="0"/>
        <w:rPr>
          <w:color w:val="000000"/>
          <w:sz w:val="20"/>
          <w:szCs w:val="20"/>
        </w:rPr>
      </w:pPr>
    </w:p>
    <w:p w14:paraId="2AA04558" w14:textId="77777777" w:rsidR="00BD641F" w:rsidRDefault="00BD641F" w:rsidP="00365D1F">
      <w:pPr>
        <w:autoSpaceDE w:val="0"/>
        <w:autoSpaceDN w:val="0"/>
        <w:adjustRightInd w:val="0"/>
        <w:rPr>
          <w:color w:val="000000"/>
          <w:sz w:val="20"/>
          <w:szCs w:val="20"/>
        </w:rPr>
      </w:pPr>
    </w:p>
    <w:p w14:paraId="6191066D" w14:textId="77777777" w:rsidR="00BD641F" w:rsidRDefault="00BD641F" w:rsidP="00365D1F">
      <w:pPr>
        <w:autoSpaceDE w:val="0"/>
        <w:autoSpaceDN w:val="0"/>
        <w:adjustRightInd w:val="0"/>
        <w:rPr>
          <w:color w:val="000000"/>
          <w:sz w:val="20"/>
          <w:szCs w:val="20"/>
        </w:rPr>
      </w:pPr>
    </w:p>
    <w:p w14:paraId="5E7DE5BE" w14:textId="4C3F0A38" w:rsidR="00365D1F" w:rsidRDefault="00361D8B" w:rsidP="00365D1F">
      <w:pPr>
        <w:autoSpaceDE w:val="0"/>
        <w:autoSpaceDN w:val="0"/>
        <w:adjustRightInd w:val="0"/>
        <w:rPr>
          <w:b/>
          <w:color w:val="000000"/>
          <w:sz w:val="20"/>
          <w:szCs w:val="20"/>
        </w:rPr>
      </w:pPr>
      <w:r>
        <w:rPr>
          <w:noProof/>
          <w:color w:val="000000"/>
          <w:sz w:val="16"/>
          <w:szCs w:val="16"/>
          <w:lang w:val="fr-FR" w:eastAsia="fr-FR"/>
        </w:rPr>
        <mc:AlternateContent>
          <mc:Choice Requires="wps">
            <w:drawing>
              <wp:anchor distT="0" distB="0" distL="114300" distR="114300" simplePos="0" relativeHeight="251658240" behindDoc="0" locked="0" layoutInCell="1" allowOverlap="1" wp14:anchorId="32D4B19D" wp14:editId="5D67F0C7">
                <wp:simplePos x="0" y="0"/>
                <wp:positionH relativeFrom="column">
                  <wp:posOffset>252095</wp:posOffset>
                </wp:positionH>
                <wp:positionV relativeFrom="paragraph">
                  <wp:posOffset>55880</wp:posOffset>
                </wp:positionV>
                <wp:extent cx="2647950" cy="340995"/>
                <wp:effectExtent l="0" t="0" r="19050" b="2095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0995"/>
                        </a:xfrm>
                        <a:prstGeom prst="rect">
                          <a:avLst/>
                        </a:prstGeom>
                        <a:solidFill>
                          <a:srgbClr val="FFFFFF"/>
                        </a:solidFill>
                        <a:ln w="9525">
                          <a:solidFill>
                            <a:srgbClr val="FFFFFF"/>
                          </a:solidFill>
                          <a:miter lim="800000"/>
                          <a:headEnd/>
                          <a:tailEnd/>
                        </a:ln>
                      </wps:spPr>
                      <wps:txbx>
                        <w:txbxContent>
                          <w:p w14:paraId="0277CEE0" w14:textId="5A4D16E1" w:rsidR="006F547E" w:rsidRPr="006A47BF" w:rsidRDefault="006F547E" w:rsidP="006F547E">
                            <w:pPr>
                              <w:pStyle w:val="Lgende"/>
                              <w:jc w:val="center"/>
                              <w:rPr>
                                <w:color w:val="000000"/>
                              </w:rPr>
                            </w:pPr>
                            <w:proofErr w:type="gramStart"/>
                            <w:r>
                              <w:rPr>
                                <w:b w:val="0"/>
                                <w:sz w:val="16"/>
                                <w:szCs w:val="16"/>
                              </w:rPr>
                              <w:t>Fig.</w:t>
                            </w:r>
                            <w:proofErr w:type="gramEnd"/>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BD641F">
                              <w:rPr>
                                <w:b w:val="0"/>
                                <w:sz w:val="16"/>
                                <w:szCs w:val="16"/>
                              </w:rPr>
                              <w:t>F</w:t>
                            </w:r>
                            <w:r w:rsidR="00BD641F" w:rsidRPr="00BD641F">
                              <w:rPr>
                                <w:b w:val="0"/>
                                <w:sz w:val="16"/>
                                <w:szCs w:val="16"/>
                              </w:rPr>
                              <w:t>unction SC for tapered solid circular section under axial and lateral loads</w:t>
                            </w:r>
                          </w:p>
                          <w:p w14:paraId="494808A5" w14:textId="77777777" w:rsidR="006F547E" w:rsidRDefault="006F5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9.85pt;margin-top:4.4pt;width:208.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" strokecolor="white">
                <v:textbox>
                  <w:txbxContent>
                    <w:p w14:paraId="0277CEE0" w14:textId="5A4D16E1" w:rsidR="006F547E" w:rsidRPr="006A47BF" w:rsidRDefault="006F547E" w:rsidP="006F547E">
                      <w:pPr>
                        <w:pStyle w:val="Lgende"/>
                        <w:jc w:val="center"/>
                        <w:rPr>
                          <w:color w:val="000000"/>
                        </w:rPr>
                      </w:pPr>
                      <w:proofErr w:type="gramStart"/>
                      <w:r>
                        <w:rPr>
                          <w:b w:val="0"/>
                          <w:sz w:val="16"/>
                          <w:szCs w:val="16"/>
                        </w:rPr>
                        <w:t>Fig.</w:t>
                      </w:r>
                      <w:proofErr w:type="gramEnd"/>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BD641F">
                        <w:rPr>
                          <w:b w:val="0"/>
                          <w:sz w:val="16"/>
                          <w:szCs w:val="16"/>
                        </w:rPr>
                        <w:t>F</w:t>
                      </w:r>
                      <w:r w:rsidR="00BD641F" w:rsidRPr="00BD641F">
                        <w:rPr>
                          <w:b w:val="0"/>
                          <w:sz w:val="16"/>
                          <w:szCs w:val="16"/>
                        </w:rPr>
                        <w:t>unction SC for tapered solid circular section under axial and lateral loads</w:t>
                      </w:r>
                    </w:p>
                    <w:p w14:paraId="494808A5" w14:textId="77777777" w:rsidR="006F547E" w:rsidRDefault="006F547E"/>
                  </w:txbxContent>
                </v:textbox>
              </v:shape>
            </w:pict>
          </mc:Fallback>
        </mc:AlternateContent>
      </w:r>
      <w:r>
        <w:rPr>
          <w:b/>
          <w:noProof/>
          <w:color w:val="000000"/>
          <w:sz w:val="20"/>
          <w:szCs w:val="20"/>
          <w:lang w:val="fr-FR" w:eastAsia="fr-FR"/>
        </w:rPr>
        <mc:AlternateContent>
          <mc:Choice Requires="wps">
            <w:drawing>
              <wp:anchor distT="0" distB="0" distL="114300" distR="114300" simplePos="0" relativeHeight="251657216" behindDoc="0" locked="0" layoutInCell="1" allowOverlap="1" wp14:anchorId="1BC0143A" wp14:editId="00AA51F1">
                <wp:simplePos x="0" y="0"/>
                <wp:positionH relativeFrom="column">
                  <wp:posOffset>3242945</wp:posOffset>
                </wp:positionH>
                <wp:positionV relativeFrom="paragraph">
                  <wp:posOffset>68580</wp:posOffset>
                </wp:positionV>
                <wp:extent cx="2400300" cy="340995"/>
                <wp:effectExtent l="0" t="0" r="19050" b="2095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0995"/>
                        </a:xfrm>
                        <a:prstGeom prst="rect">
                          <a:avLst/>
                        </a:prstGeom>
                        <a:solidFill>
                          <a:srgbClr val="FFFFFF"/>
                        </a:solidFill>
                        <a:ln w="9525">
                          <a:solidFill>
                            <a:srgbClr val="FFFFFF"/>
                          </a:solidFill>
                          <a:miter lim="800000"/>
                          <a:headEnd/>
                          <a:tailEnd/>
                        </a:ln>
                      </wps:spPr>
                      <wps:txbx>
                        <w:txbxContent>
                          <w:p w14:paraId="24AEA4E3" w14:textId="100A4F9E" w:rsidR="0091651E" w:rsidRPr="00E370F4" w:rsidRDefault="0091651E" w:rsidP="0091651E">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361D8B" w:rsidRPr="00361D8B">
                              <w:rPr>
                                <w:sz w:val="16"/>
                                <w:szCs w:val="16"/>
                              </w:rPr>
                              <w:t>Function SC for different beam-column's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55.35pt;margin-top:5.4pt;width:18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" strokecolor="white">
                <v:textbox>
                  <w:txbxContent>
                    <w:p w14:paraId="24AEA4E3" w14:textId="100A4F9E" w:rsidR="0091651E" w:rsidRPr="00E370F4" w:rsidRDefault="0091651E" w:rsidP="0091651E">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361D8B" w:rsidRPr="00361D8B">
                        <w:rPr>
                          <w:sz w:val="16"/>
                          <w:szCs w:val="16"/>
                        </w:rPr>
                        <w:t>Function SC for different beam-column's length</w:t>
                      </w:r>
                    </w:p>
                  </w:txbxContent>
                </v:textbox>
              </v:shape>
            </w:pict>
          </mc:Fallback>
        </mc:AlternateContent>
      </w:r>
    </w:p>
    <w:p w14:paraId="1EE38404" w14:textId="3C420823" w:rsidR="00E370F4" w:rsidRDefault="00E370F4" w:rsidP="00365D1F">
      <w:pPr>
        <w:autoSpaceDE w:val="0"/>
        <w:autoSpaceDN w:val="0"/>
        <w:adjustRightInd w:val="0"/>
        <w:rPr>
          <w:b/>
          <w:color w:val="000000"/>
          <w:sz w:val="20"/>
          <w:szCs w:val="20"/>
        </w:rPr>
      </w:pPr>
    </w:p>
    <w:p w14:paraId="6223C8D4" w14:textId="77777777" w:rsidR="00372DE9" w:rsidRDefault="00372DE9" w:rsidP="00160B67">
      <w:pPr>
        <w:autoSpaceDE w:val="0"/>
        <w:autoSpaceDN w:val="0"/>
        <w:adjustRightInd w:val="0"/>
        <w:rPr>
          <w:b/>
          <w:bCs/>
          <w:color w:val="000000"/>
          <w:sz w:val="20"/>
          <w:szCs w:val="20"/>
        </w:rPr>
      </w:pPr>
    </w:p>
    <w:p w14:paraId="41631753" w14:textId="77777777" w:rsidR="00160B67" w:rsidRDefault="00914CA2" w:rsidP="00160B67">
      <w:pPr>
        <w:autoSpaceDE w:val="0"/>
        <w:autoSpaceDN w:val="0"/>
        <w:adjustRightInd w:val="0"/>
        <w:rPr>
          <w:b/>
          <w:bCs/>
          <w:color w:val="000000"/>
          <w:sz w:val="20"/>
          <w:szCs w:val="20"/>
        </w:rPr>
      </w:pPr>
      <w:r>
        <w:rPr>
          <w:b/>
          <w:bCs/>
          <w:color w:val="000000"/>
          <w:sz w:val="20"/>
          <w:szCs w:val="20"/>
        </w:rPr>
        <w:t>3</w:t>
      </w:r>
      <w:r w:rsidR="00160B67">
        <w:rPr>
          <w:b/>
          <w:bCs/>
          <w:color w:val="000000"/>
          <w:sz w:val="20"/>
          <w:szCs w:val="20"/>
        </w:rPr>
        <w:t>. References</w:t>
      </w:r>
    </w:p>
    <w:p w14:paraId="64100959" w14:textId="0DFB38A6" w:rsidR="00E9675F" w:rsidRPr="00E9675F" w:rsidRDefault="00E9675F" w:rsidP="00E9675F">
      <w:pPr>
        <w:autoSpaceDE w:val="0"/>
        <w:autoSpaceDN w:val="0"/>
        <w:adjustRightInd w:val="0"/>
        <w:rPr>
          <w:rFonts w:ascii="CMR9" w:hAnsi="CMR9" w:cs="CMR9"/>
          <w:sz w:val="18"/>
          <w:szCs w:val="18"/>
          <w:lang w:val="en-GB" w:eastAsia="en-GB"/>
        </w:rPr>
      </w:pPr>
      <w:r w:rsidRPr="00E9675F">
        <w:rPr>
          <w:rFonts w:ascii="CMR9" w:hAnsi="CMR9" w:cs="CMR9"/>
          <w:sz w:val="18"/>
          <w:szCs w:val="18"/>
          <w:lang w:val="en-GB" w:eastAsia="en-GB"/>
        </w:rPr>
        <w:t>[1] WF. Chen, T. Atsuta, Theory of beam columns, volume 1: In-plane behaviour and design, New York, 1936.</w:t>
      </w:r>
    </w:p>
    <w:p w14:paraId="5643917E" w14:textId="392E1F99" w:rsidR="00E9675F" w:rsidRPr="00E9675F" w:rsidRDefault="00E9675F" w:rsidP="00E9675F">
      <w:pPr>
        <w:autoSpaceDE w:val="0"/>
        <w:autoSpaceDN w:val="0"/>
        <w:adjustRightInd w:val="0"/>
        <w:rPr>
          <w:rFonts w:ascii="CMR9" w:hAnsi="CMR9" w:cs="CMR9"/>
          <w:sz w:val="18"/>
          <w:szCs w:val="18"/>
          <w:lang w:val="en-GB" w:eastAsia="en-GB"/>
        </w:rPr>
      </w:pPr>
      <w:r w:rsidRPr="00E9675F">
        <w:rPr>
          <w:rFonts w:ascii="CMR9" w:hAnsi="CMR9" w:cs="CMR9"/>
          <w:sz w:val="18"/>
          <w:szCs w:val="18"/>
          <w:lang w:val="en-GB" w:eastAsia="en-GB"/>
        </w:rPr>
        <w:t>[2] S.P. Timoshenko, J.M. Gere, Theory of elastic stability, 2nd Ed, New York, McGraw-Hill, 1961.</w:t>
      </w:r>
    </w:p>
    <w:p w14:paraId="7A196317" w14:textId="0F43D19B" w:rsidR="00E9675F" w:rsidRPr="00E9675F" w:rsidRDefault="00E9675F" w:rsidP="00E9675F">
      <w:pPr>
        <w:autoSpaceDE w:val="0"/>
        <w:autoSpaceDN w:val="0"/>
        <w:adjustRightInd w:val="0"/>
        <w:rPr>
          <w:rFonts w:ascii="CMR9" w:hAnsi="CMR9" w:cs="CMR9"/>
          <w:sz w:val="18"/>
          <w:szCs w:val="18"/>
          <w:lang w:val="en-GB" w:eastAsia="en-GB"/>
        </w:rPr>
      </w:pPr>
      <w:r w:rsidRPr="00E9675F">
        <w:rPr>
          <w:rFonts w:ascii="CMR9" w:hAnsi="CMR9" w:cs="CMR9"/>
          <w:sz w:val="18"/>
          <w:szCs w:val="18"/>
          <w:lang w:val="en-GB" w:eastAsia="en-GB"/>
        </w:rPr>
        <w:t xml:space="preserve">[3] M. </w:t>
      </w:r>
      <w:proofErr w:type="spellStart"/>
      <w:r w:rsidRPr="00E9675F">
        <w:rPr>
          <w:rFonts w:ascii="CMR9" w:hAnsi="CMR9" w:cs="CMR9"/>
          <w:sz w:val="18"/>
          <w:szCs w:val="18"/>
          <w:lang w:val="en-GB" w:eastAsia="en-GB"/>
        </w:rPr>
        <w:t>Soltani</w:t>
      </w:r>
      <w:proofErr w:type="spellEnd"/>
      <w:r w:rsidRPr="00E9675F">
        <w:rPr>
          <w:rFonts w:ascii="CMR9" w:hAnsi="CMR9" w:cs="CMR9"/>
          <w:sz w:val="18"/>
          <w:szCs w:val="18"/>
          <w:lang w:val="en-GB" w:eastAsia="en-GB"/>
        </w:rPr>
        <w:t xml:space="preserve">, A. Sistani, Elastic stability of columns with variable </w:t>
      </w:r>
      <w:r w:rsidR="00BD641F">
        <w:rPr>
          <w:rFonts w:ascii="CMR9" w:hAnsi="CMR9" w:cs="CMR9"/>
          <w:sz w:val="18"/>
          <w:szCs w:val="18"/>
          <w:lang w:val="en-GB" w:eastAsia="en-GB"/>
        </w:rPr>
        <w:t>fl</w:t>
      </w:r>
      <w:r w:rsidRPr="00E9675F">
        <w:rPr>
          <w:rFonts w:ascii="CMR9" w:hAnsi="CMR9" w:cs="CMR9"/>
          <w:sz w:val="18"/>
          <w:szCs w:val="18"/>
          <w:lang w:val="en-GB" w:eastAsia="en-GB"/>
        </w:rPr>
        <w:t>exural rigidity under arbit</w:t>
      </w:r>
      <w:r w:rsidR="00BD641F">
        <w:rPr>
          <w:rFonts w:ascii="CMR9" w:hAnsi="CMR9" w:cs="CMR9"/>
          <w:sz w:val="18"/>
          <w:szCs w:val="18"/>
          <w:lang w:val="en-GB" w:eastAsia="en-GB"/>
        </w:rPr>
        <w:t xml:space="preserve">rary axial load using the finite </w:t>
      </w:r>
      <w:r w:rsidRPr="00E9675F">
        <w:rPr>
          <w:rFonts w:ascii="CMR9" w:hAnsi="CMR9" w:cs="CMR9"/>
          <w:sz w:val="18"/>
          <w:szCs w:val="18"/>
          <w:lang w:val="en-GB" w:eastAsia="en-GB"/>
        </w:rPr>
        <w:t>di</w:t>
      </w:r>
      <w:r w:rsidR="00BD641F">
        <w:rPr>
          <w:rFonts w:ascii="CMR9" w:hAnsi="CMR9" w:cs="CMR9"/>
          <w:sz w:val="18"/>
          <w:szCs w:val="18"/>
          <w:lang w:val="en-GB" w:eastAsia="en-GB"/>
        </w:rPr>
        <w:t>ff</w:t>
      </w:r>
      <w:r w:rsidRPr="00E9675F">
        <w:rPr>
          <w:rFonts w:ascii="CMR9" w:hAnsi="CMR9" w:cs="CMR9"/>
          <w:sz w:val="18"/>
          <w:szCs w:val="18"/>
          <w:lang w:val="en-GB" w:eastAsia="en-GB"/>
        </w:rPr>
        <w:t xml:space="preserve">erence method, Num. Meth. </w:t>
      </w:r>
      <w:proofErr w:type="gramStart"/>
      <w:r w:rsidRPr="00E9675F">
        <w:rPr>
          <w:rFonts w:ascii="CMR9" w:hAnsi="CMR9" w:cs="CMR9"/>
          <w:sz w:val="18"/>
          <w:szCs w:val="18"/>
          <w:lang w:val="en-GB" w:eastAsia="en-GB"/>
        </w:rPr>
        <w:t>Civil Eng. 2017.</w:t>
      </w:r>
      <w:proofErr w:type="gramEnd"/>
    </w:p>
    <w:p w14:paraId="568C8D0B" w14:textId="5B7F3890" w:rsidR="00E9675F" w:rsidRPr="00E9675F" w:rsidRDefault="00E9675F" w:rsidP="00E9675F">
      <w:pPr>
        <w:autoSpaceDE w:val="0"/>
        <w:autoSpaceDN w:val="0"/>
        <w:adjustRightInd w:val="0"/>
        <w:rPr>
          <w:rFonts w:ascii="CMR9" w:hAnsi="CMR9" w:cs="CMR9"/>
          <w:sz w:val="18"/>
          <w:szCs w:val="18"/>
          <w:lang w:val="en-GB" w:eastAsia="en-GB"/>
        </w:rPr>
      </w:pPr>
      <w:r w:rsidRPr="00E9675F">
        <w:rPr>
          <w:rFonts w:ascii="CMR9" w:hAnsi="CMR9" w:cs="CMR9"/>
          <w:sz w:val="18"/>
          <w:szCs w:val="18"/>
          <w:lang w:val="en-GB" w:eastAsia="en-GB"/>
        </w:rPr>
        <w:t>[4] S. Al-Sadder, Exact expression for stability functions of a general non-prismatic beam-column member,</w:t>
      </w:r>
      <w:r w:rsidR="00BD641F">
        <w:rPr>
          <w:rFonts w:ascii="CMR9" w:hAnsi="CMR9" w:cs="CMR9"/>
          <w:sz w:val="18"/>
          <w:szCs w:val="18"/>
          <w:lang w:val="en-GB" w:eastAsia="en-GB"/>
        </w:rPr>
        <w:t xml:space="preserve"> J. constructional </w:t>
      </w:r>
      <w:r w:rsidRPr="00E9675F">
        <w:rPr>
          <w:rFonts w:ascii="CMR9" w:hAnsi="CMR9" w:cs="CMR9"/>
          <w:sz w:val="18"/>
          <w:szCs w:val="18"/>
          <w:lang w:val="en-GB" w:eastAsia="en-GB"/>
        </w:rPr>
        <w:t>Steel Research 60 (2004) 1561-1584.</w:t>
      </w:r>
    </w:p>
    <w:p w14:paraId="1F28F924" w14:textId="52FA8CAC" w:rsidR="00616E2B" w:rsidRPr="00BD641F" w:rsidRDefault="00E9675F" w:rsidP="00E9675F">
      <w:pPr>
        <w:autoSpaceDE w:val="0"/>
        <w:autoSpaceDN w:val="0"/>
        <w:adjustRightInd w:val="0"/>
        <w:rPr>
          <w:rFonts w:ascii="CMR9" w:hAnsi="CMR9" w:cs="CMR9"/>
          <w:sz w:val="18"/>
          <w:szCs w:val="18"/>
          <w:lang w:val="en-GB" w:eastAsia="en-GB"/>
        </w:rPr>
      </w:pPr>
      <w:r w:rsidRPr="00E9675F">
        <w:rPr>
          <w:rFonts w:ascii="CMR9" w:hAnsi="CMR9" w:cs="CMR9"/>
          <w:sz w:val="18"/>
          <w:szCs w:val="18"/>
          <w:lang w:val="en-GB" w:eastAsia="en-GB"/>
        </w:rPr>
        <w:t xml:space="preserve">[5] M. </w:t>
      </w:r>
      <w:proofErr w:type="spellStart"/>
      <w:r w:rsidRPr="00E9675F">
        <w:rPr>
          <w:rFonts w:ascii="CMR9" w:hAnsi="CMR9" w:cs="CMR9"/>
          <w:sz w:val="18"/>
          <w:szCs w:val="18"/>
          <w:lang w:val="en-GB" w:eastAsia="en-GB"/>
        </w:rPr>
        <w:t>Soltani</w:t>
      </w:r>
      <w:proofErr w:type="spellEnd"/>
      <w:r w:rsidRPr="00E9675F">
        <w:rPr>
          <w:rFonts w:ascii="CMR9" w:hAnsi="CMR9" w:cs="CMR9"/>
          <w:sz w:val="18"/>
          <w:szCs w:val="18"/>
          <w:lang w:val="en-GB" w:eastAsia="en-GB"/>
        </w:rPr>
        <w:t xml:space="preserve">, F. </w:t>
      </w:r>
      <w:proofErr w:type="spellStart"/>
      <w:r w:rsidRPr="00E9675F">
        <w:rPr>
          <w:rFonts w:ascii="CMR9" w:hAnsi="CMR9" w:cs="CMR9"/>
          <w:sz w:val="18"/>
          <w:szCs w:val="18"/>
          <w:lang w:val="en-GB" w:eastAsia="en-GB"/>
        </w:rPr>
        <w:t>Mohri</w:t>
      </w:r>
      <w:proofErr w:type="spellEnd"/>
      <w:r w:rsidRPr="00E9675F">
        <w:rPr>
          <w:rFonts w:ascii="CMR9" w:hAnsi="CMR9" w:cs="CMR9"/>
          <w:sz w:val="18"/>
          <w:szCs w:val="18"/>
          <w:lang w:val="en-GB" w:eastAsia="en-GB"/>
        </w:rPr>
        <w:t>, Stability and vibration of tapered columns resting on one or two</w:t>
      </w:r>
      <w:r w:rsidR="00BD641F">
        <w:rPr>
          <w:rFonts w:ascii="CMR9" w:hAnsi="CMR9" w:cs="CMR9"/>
          <w:sz w:val="18"/>
          <w:szCs w:val="18"/>
          <w:lang w:val="en-GB" w:eastAsia="en-GB"/>
        </w:rPr>
        <w:t xml:space="preserve">-parameter elastic foundations, </w:t>
      </w:r>
      <w:r w:rsidRPr="00E9675F">
        <w:rPr>
          <w:rFonts w:ascii="CMR9" w:hAnsi="CMR9" w:cs="CMR9"/>
          <w:sz w:val="18"/>
          <w:szCs w:val="18"/>
          <w:lang w:val="en-GB" w:eastAsia="en-GB"/>
        </w:rPr>
        <w:t>Numerical Methods in Civil Eng. Vol1, 2014.</w:t>
      </w:r>
    </w:p>
    <w:sectPr w:rsidR="00616E2B" w:rsidRPr="00BD641F"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MR9">
    <w:panose1 w:val="00000000000000000000"/>
    <w:charset w:val="00"/>
    <w:family w:val="auto"/>
    <w:notTrueType/>
    <w:pitch w:val="default"/>
    <w:sig w:usb0="00000003" w:usb1="00000000" w:usb2="00000000" w:usb3="00000000" w:csb0="00000001" w:csb1="00000000"/>
  </w:font>
  <w:font w:name="Vrinda">
    <w:altName w:val="Courant"/>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F4"/>
    <w:rsid w:val="000154C3"/>
    <w:rsid w:val="00020AF4"/>
    <w:rsid w:val="00021545"/>
    <w:rsid w:val="0002442D"/>
    <w:rsid w:val="00073907"/>
    <w:rsid w:val="00081941"/>
    <w:rsid w:val="000A1C1A"/>
    <w:rsid w:val="000A3F1F"/>
    <w:rsid w:val="000A7E8F"/>
    <w:rsid w:val="000C6ACD"/>
    <w:rsid w:val="000F516B"/>
    <w:rsid w:val="00115D34"/>
    <w:rsid w:val="00115E33"/>
    <w:rsid w:val="00160B67"/>
    <w:rsid w:val="0017056C"/>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4239"/>
    <w:rsid w:val="00345231"/>
    <w:rsid w:val="00361D8B"/>
    <w:rsid w:val="00362A56"/>
    <w:rsid w:val="00365D1F"/>
    <w:rsid w:val="00372DE9"/>
    <w:rsid w:val="0039050A"/>
    <w:rsid w:val="003A1C56"/>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42FC8"/>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6F6E10"/>
    <w:rsid w:val="00732267"/>
    <w:rsid w:val="00762749"/>
    <w:rsid w:val="00763E69"/>
    <w:rsid w:val="007764A0"/>
    <w:rsid w:val="007B1120"/>
    <w:rsid w:val="007C3D78"/>
    <w:rsid w:val="007C65EF"/>
    <w:rsid w:val="007F3F6A"/>
    <w:rsid w:val="007F68C0"/>
    <w:rsid w:val="0080026A"/>
    <w:rsid w:val="00801463"/>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024F7"/>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D641F"/>
    <w:rsid w:val="00BE279C"/>
    <w:rsid w:val="00BE6574"/>
    <w:rsid w:val="00BF566E"/>
    <w:rsid w:val="00C01D29"/>
    <w:rsid w:val="00C17A65"/>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E6ED6"/>
    <w:rsid w:val="00DF5632"/>
    <w:rsid w:val="00E17030"/>
    <w:rsid w:val="00E267CD"/>
    <w:rsid w:val="00E26AAD"/>
    <w:rsid w:val="00E370F4"/>
    <w:rsid w:val="00E75D62"/>
    <w:rsid w:val="00E82520"/>
    <w:rsid w:val="00E9391D"/>
    <w:rsid w:val="00E9675F"/>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TEquationSection">
    <w:name w:val="MTEquationSection"/>
    <w:basedOn w:val="Policepardfau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Policepardfaut"/>
    <w:link w:val="MTDisplayEquation"/>
    <w:rsid w:val="00E267CD"/>
    <w:rPr>
      <w:color w:val="000000"/>
      <w:lang w:val="en-US" w:eastAsia="en-US"/>
    </w:rPr>
  </w:style>
  <w:style w:type="character" w:styleId="Textedelespacerserv">
    <w:name w:val="Placeholder Text"/>
    <w:basedOn w:val="Policepardfaut"/>
    <w:uiPriority w:val="99"/>
    <w:semiHidden/>
    <w:rsid w:val="00A9295F"/>
    <w:rPr>
      <w:color w:val="808080"/>
    </w:rPr>
  </w:style>
  <w:style w:type="paragraph" w:styleId="Textedebulles">
    <w:name w:val="Balloon Text"/>
    <w:basedOn w:val="Normal"/>
    <w:link w:val="TextedebullesCar"/>
    <w:rsid w:val="00A9295F"/>
    <w:rPr>
      <w:rFonts w:ascii="Tahoma" w:hAnsi="Tahoma" w:cs="Tahoma"/>
      <w:sz w:val="16"/>
      <w:szCs w:val="16"/>
    </w:rPr>
  </w:style>
  <w:style w:type="character" w:customStyle="1" w:styleId="TextedebullesCar">
    <w:name w:val="Texte de bulles Car"/>
    <w:basedOn w:val="Policepardfaut"/>
    <w:link w:val="Textedebulles"/>
    <w:rsid w:val="00A9295F"/>
    <w:rPr>
      <w:rFonts w:ascii="Tahoma" w:hAnsi="Tahoma" w:cs="Tahoma"/>
      <w:sz w:val="16"/>
      <w:szCs w:val="16"/>
      <w:lang w:val="en-US" w:eastAsia="en-US"/>
    </w:rPr>
  </w:style>
  <w:style w:type="paragraph" w:styleId="Lgende">
    <w:name w:val="caption"/>
    <w:basedOn w:val="Normal"/>
    <w:next w:val="Normal"/>
    <w:qFormat/>
    <w:rsid w:val="003F716F"/>
    <w:rPr>
      <w:b/>
      <w:bCs/>
      <w:sz w:val="20"/>
      <w:szCs w:val="20"/>
    </w:rPr>
  </w:style>
  <w:style w:type="character" w:styleId="Lienhypertexte">
    <w:name w:val="Hyperlink"/>
    <w:basedOn w:val="Policepardfaut"/>
    <w:rsid w:val="00654B33"/>
    <w:rPr>
      <w:color w:val="0000FF"/>
      <w:u w:val="single"/>
    </w:rPr>
  </w:style>
  <w:style w:type="table" w:styleId="Grilledutableau">
    <w:name w:val="Table Grid"/>
    <w:basedOn w:val="TableauNormal"/>
    <w:rsid w:val="00C0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1C75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TEquationSection">
    <w:name w:val="MTEquationSection"/>
    <w:basedOn w:val="Policepardfau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Policepardfaut"/>
    <w:link w:val="MTDisplayEquation"/>
    <w:rsid w:val="00E267CD"/>
    <w:rPr>
      <w:color w:val="000000"/>
      <w:lang w:val="en-US" w:eastAsia="en-US"/>
    </w:rPr>
  </w:style>
  <w:style w:type="character" w:styleId="Textedelespacerserv">
    <w:name w:val="Placeholder Text"/>
    <w:basedOn w:val="Policepardfaut"/>
    <w:uiPriority w:val="99"/>
    <w:semiHidden/>
    <w:rsid w:val="00A9295F"/>
    <w:rPr>
      <w:color w:val="808080"/>
    </w:rPr>
  </w:style>
  <w:style w:type="paragraph" w:styleId="Textedebulles">
    <w:name w:val="Balloon Text"/>
    <w:basedOn w:val="Normal"/>
    <w:link w:val="TextedebullesCar"/>
    <w:rsid w:val="00A9295F"/>
    <w:rPr>
      <w:rFonts w:ascii="Tahoma" w:hAnsi="Tahoma" w:cs="Tahoma"/>
      <w:sz w:val="16"/>
      <w:szCs w:val="16"/>
    </w:rPr>
  </w:style>
  <w:style w:type="character" w:customStyle="1" w:styleId="TextedebullesCar">
    <w:name w:val="Texte de bulles Car"/>
    <w:basedOn w:val="Policepardfaut"/>
    <w:link w:val="Textedebulles"/>
    <w:rsid w:val="00A9295F"/>
    <w:rPr>
      <w:rFonts w:ascii="Tahoma" w:hAnsi="Tahoma" w:cs="Tahoma"/>
      <w:sz w:val="16"/>
      <w:szCs w:val="16"/>
      <w:lang w:val="en-US" w:eastAsia="en-US"/>
    </w:rPr>
  </w:style>
  <w:style w:type="paragraph" w:styleId="Lgende">
    <w:name w:val="caption"/>
    <w:basedOn w:val="Normal"/>
    <w:next w:val="Normal"/>
    <w:qFormat/>
    <w:rsid w:val="003F716F"/>
    <w:rPr>
      <w:b/>
      <w:bCs/>
      <w:sz w:val="20"/>
      <w:szCs w:val="20"/>
    </w:rPr>
  </w:style>
  <w:style w:type="character" w:styleId="Lienhypertexte">
    <w:name w:val="Hyperlink"/>
    <w:basedOn w:val="Policepardfaut"/>
    <w:rsid w:val="00654B33"/>
    <w:rPr>
      <w:color w:val="0000FF"/>
      <w:u w:val="single"/>
    </w:rPr>
  </w:style>
  <w:style w:type="table" w:styleId="Grilledutableau">
    <w:name w:val="Table Grid"/>
    <w:basedOn w:val="TableauNormal"/>
    <w:rsid w:val="00C01D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114</TotalTime>
  <Pages>1</Pages>
  <Words>631</Words>
  <Characters>3472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Selective Excitation of a Vibrational Level Within Hexafluoride Molecules with Ultra Short Lasers</vt:lpstr>
      <vt:lpstr>Selective Excitation of a Vibrational Level Within Hexafluoride Molecules with Ultra Short Lasers</vt:lpstr>
    </vt:vector>
  </TitlesOfParts>
  <Company>CSIR</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Utilisateur Windows</cp:lastModifiedBy>
  <cp:revision>8</cp:revision>
  <cp:lastPrinted>2010-06-23T09:35:00Z</cp:lastPrinted>
  <dcterms:created xsi:type="dcterms:W3CDTF">2021-07-20T17:41:00Z</dcterms:created>
  <dcterms:modified xsi:type="dcterms:W3CDTF">2021-10-16T10:20:00Z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