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16" w:rsidRPr="00775E16" w:rsidRDefault="003E14AF" w:rsidP="00775E16">
      <w:pPr>
        <w:rPr>
          <w:color w:val="222222"/>
          <w:sz w:val="28"/>
          <w:szCs w:val="28"/>
          <w:shd w:val="clear" w:color="auto" w:fill="FFFFFF"/>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775E16" w:rsidRPr="00775E16">
        <w:rPr>
          <w:b/>
          <w:color w:val="222222"/>
          <w:sz w:val="28"/>
          <w:szCs w:val="28"/>
          <w:shd w:val="clear" w:color="auto" w:fill="FFFFFF"/>
        </w:rPr>
        <w:t xml:space="preserve">Protein crystallography off the beaten track: </w:t>
      </w:r>
      <w:proofErr w:type="spellStart"/>
      <w:r w:rsidR="00775E16" w:rsidRPr="00775E16">
        <w:rPr>
          <w:b/>
          <w:color w:val="222222"/>
          <w:sz w:val="28"/>
          <w:szCs w:val="28"/>
          <w:shd w:val="clear" w:color="auto" w:fill="FFFFFF"/>
        </w:rPr>
        <w:t>Septin</w:t>
      </w:r>
      <w:proofErr w:type="spellEnd"/>
      <w:r w:rsidR="00775E16" w:rsidRPr="00775E16">
        <w:rPr>
          <w:b/>
          <w:color w:val="222222"/>
          <w:sz w:val="28"/>
          <w:szCs w:val="28"/>
          <w:shd w:val="clear" w:color="auto" w:fill="FFFFFF"/>
        </w:rPr>
        <w:t xml:space="preserve"> filaments, their role in disease and the importance of access to large facilities</w:t>
      </w:r>
    </w:p>
    <w:p w:rsidR="0065340D" w:rsidRDefault="0065340D" w:rsidP="00EF28F5">
      <w:pPr>
        <w:autoSpaceDE w:val="0"/>
        <w:autoSpaceDN w:val="0"/>
        <w:adjustRightInd w:val="0"/>
        <w:jc w:val="center"/>
        <w:rPr>
          <w:b/>
          <w:bCs/>
          <w:color w:val="000000"/>
          <w:sz w:val="28"/>
          <w:szCs w:val="28"/>
        </w:rPr>
      </w:pPr>
    </w:p>
    <w:p w:rsidR="00EF28F5" w:rsidRPr="00654B33" w:rsidRDefault="00EF28F5" w:rsidP="00EF28F5">
      <w:pPr>
        <w:autoSpaceDE w:val="0"/>
        <w:autoSpaceDN w:val="0"/>
        <w:adjustRightInd w:val="0"/>
        <w:jc w:val="center"/>
        <w:rPr>
          <w:b/>
          <w:bCs/>
          <w:color w:val="000000"/>
          <w:sz w:val="20"/>
          <w:szCs w:val="20"/>
        </w:rPr>
      </w:pPr>
    </w:p>
    <w:p w:rsidR="00AE349D" w:rsidRPr="00654B33" w:rsidRDefault="00775E16" w:rsidP="00F20A8D">
      <w:pPr>
        <w:autoSpaceDE w:val="0"/>
        <w:autoSpaceDN w:val="0"/>
        <w:adjustRightInd w:val="0"/>
        <w:jc w:val="center"/>
        <w:rPr>
          <w:b/>
          <w:bCs/>
          <w:color w:val="000000"/>
          <w:sz w:val="20"/>
          <w:szCs w:val="20"/>
          <w:vertAlign w:val="superscript"/>
        </w:rPr>
      </w:pPr>
      <w:r>
        <w:rPr>
          <w:b/>
          <w:bCs/>
          <w:color w:val="000000"/>
          <w:sz w:val="20"/>
          <w:szCs w:val="20"/>
          <w:u w:val="single"/>
        </w:rPr>
        <w:t>Richard Garratt</w:t>
      </w:r>
      <w:r w:rsidR="009D1122" w:rsidRPr="00654B33">
        <w:rPr>
          <w:bCs/>
          <w:color w:val="000000"/>
          <w:sz w:val="20"/>
          <w:szCs w:val="20"/>
          <w:vertAlign w:val="superscript"/>
        </w:rPr>
        <w:t>1</w:t>
      </w:r>
    </w:p>
    <w:p w:rsidR="00A974FA" w:rsidRDefault="00A974FA" w:rsidP="00160B67">
      <w:pPr>
        <w:autoSpaceDE w:val="0"/>
        <w:autoSpaceDN w:val="0"/>
        <w:adjustRightInd w:val="0"/>
        <w:jc w:val="center"/>
        <w:rPr>
          <w:b/>
          <w:bCs/>
          <w:color w:val="000000"/>
          <w:sz w:val="16"/>
          <w:szCs w:val="16"/>
        </w:rPr>
      </w:pPr>
    </w:p>
    <w:p w:rsidR="00160B67" w:rsidRPr="00775E16" w:rsidRDefault="003319B1" w:rsidP="00160B67">
      <w:pPr>
        <w:autoSpaceDE w:val="0"/>
        <w:autoSpaceDN w:val="0"/>
        <w:adjustRightInd w:val="0"/>
        <w:jc w:val="center"/>
        <w:rPr>
          <w:i/>
          <w:iCs/>
          <w:color w:val="000000"/>
          <w:sz w:val="16"/>
          <w:szCs w:val="16"/>
          <w:lang w:val="pt-BR"/>
        </w:rPr>
      </w:pPr>
      <w:r w:rsidRPr="00775E16">
        <w:rPr>
          <w:b/>
          <w:bCs/>
          <w:color w:val="000000"/>
          <w:sz w:val="16"/>
          <w:szCs w:val="16"/>
          <w:lang w:val="pt-BR"/>
        </w:rPr>
        <w:t xml:space="preserve"> </w:t>
      </w:r>
      <w:r w:rsidR="009D1122" w:rsidRPr="00775E16">
        <w:rPr>
          <w:bCs/>
          <w:i/>
          <w:color w:val="000000"/>
          <w:sz w:val="16"/>
          <w:szCs w:val="16"/>
          <w:vertAlign w:val="superscript"/>
          <w:lang w:val="pt-BR"/>
        </w:rPr>
        <w:t>1</w:t>
      </w:r>
      <w:r w:rsidR="00E9391D" w:rsidRPr="00775E16">
        <w:rPr>
          <w:i/>
          <w:iCs/>
          <w:color w:val="000000"/>
          <w:sz w:val="16"/>
          <w:szCs w:val="16"/>
          <w:lang w:val="pt-BR"/>
        </w:rPr>
        <w:t xml:space="preserve"> </w:t>
      </w:r>
      <w:r w:rsidR="00775E16" w:rsidRPr="00775E16">
        <w:rPr>
          <w:i/>
          <w:iCs/>
          <w:color w:val="000000"/>
          <w:sz w:val="16"/>
          <w:szCs w:val="16"/>
          <w:lang w:val="pt-BR"/>
        </w:rPr>
        <w:t>São Carlos Institute of Physics,</w:t>
      </w:r>
      <w:r w:rsidR="00775E16">
        <w:rPr>
          <w:i/>
          <w:iCs/>
          <w:color w:val="000000"/>
          <w:sz w:val="16"/>
          <w:szCs w:val="16"/>
          <w:lang w:val="pt-BR"/>
        </w:rPr>
        <w:t xml:space="preserve"> </w:t>
      </w:r>
      <w:r w:rsidR="00775E16" w:rsidRPr="00775E16">
        <w:rPr>
          <w:i/>
          <w:iCs/>
          <w:color w:val="000000"/>
          <w:sz w:val="16"/>
          <w:szCs w:val="16"/>
          <w:lang w:val="pt-BR"/>
        </w:rPr>
        <w:t>University of São Paulo, São Carlos, Brazil</w:t>
      </w:r>
    </w:p>
    <w:p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775E16">
        <w:rPr>
          <w:i/>
          <w:iCs/>
          <w:color w:val="000000"/>
          <w:sz w:val="16"/>
          <w:szCs w:val="16"/>
        </w:rPr>
        <w:t>richard@ifsc.usp.br</w:t>
      </w:r>
    </w:p>
    <w:p w:rsidR="0065340D" w:rsidRPr="00654B33" w:rsidRDefault="0065340D" w:rsidP="00160B67">
      <w:pPr>
        <w:autoSpaceDE w:val="0"/>
        <w:autoSpaceDN w:val="0"/>
        <w:adjustRightInd w:val="0"/>
        <w:jc w:val="center"/>
        <w:rPr>
          <w:i/>
          <w:iCs/>
          <w:color w:val="000000"/>
          <w:sz w:val="20"/>
          <w:szCs w:val="20"/>
        </w:rPr>
      </w:pPr>
    </w:p>
    <w:p w:rsidR="00160B67" w:rsidRPr="00654B33" w:rsidRDefault="00775E16" w:rsidP="00160B67">
      <w:pPr>
        <w:autoSpaceDE w:val="0"/>
        <w:autoSpaceDN w:val="0"/>
        <w:adjustRightInd w:val="0"/>
        <w:rPr>
          <w:b/>
          <w:bCs/>
          <w:color w:val="000000"/>
          <w:sz w:val="20"/>
          <w:szCs w:val="20"/>
        </w:rPr>
      </w:pPr>
      <w:r>
        <w:rPr>
          <w:b/>
          <w:bCs/>
          <w:color w:val="000000"/>
          <w:sz w:val="20"/>
          <w:szCs w:val="20"/>
        </w:rPr>
        <w:t xml:space="preserve">1. Introduction </w:t>
      </w:r>
    </w:p>
    <w:p w:rsidR="0065340D" w:rsidRPr="00654B33" w:rsidRDefault="0065340D" w:rsidP="00160B67">
      <w:pPr>
        <w:autoSpaceDE w:val="0"/>
        <w:autoSpaceDN w:val="0"/>
        <w:adjustRightInd w:val="0"/>
        <w:rPr>
          <w:b/>
          <w:bCs/>
          <w:color w:val="000000"/>
          <w:sz w:val="20"/>
          <w:szCs w:val="20"/>
        </w:rPr>
      </w:pPr>
    </w:p>
    <w:p w:rsidR="00775E16" w:rsidRPr="00775E16" w:rsidRDefault="00775E16" w:rsidP="00775E16">
      <w:pPr>
        <w:rPr>
          <w:sz w:val="20"/>
          <w:szCs w:val="20"/>
        </w:rPr>
      </w:pPr>
      <w:proofErr w:type="spellStart"/>
      <w:r w:rsidRPr="00775E16">
        <w:rPr>
          <w:sz w:val="20"/>
          <w:szCs w:val="20"/>
        </w:rPr>
        <w:t>Septins</w:t>
      </w:r>
      <w:proofErr w:type="spellEnd"/>
      <w:r w:rsidRPr="00775E16">
        <w:rPr>
          <w:sz w:val="20"/>
          <w:szCs w:val="20"/>
        </w:rPr>
        <w:t xml:space="preserve"> are GTP-binding proteins which are taken to be the fourth filamentous component of the cytoskeleton and play a fundamental role in cell division.  In humans there are 13 different </w:t>
      </w:r>
      <w:proofErr w:type="spellStart"/>
      <w:r w:rsidRPr="00775E16">
        <w:rPr>
          <w:sz w:val="20"/>
          <w:szCs w:val="20"/>
        </w:rPr>
        <w:t>septins</w:t>
      </w:r>
      <w:proofErr w:type="spellEnd"/>
      <w:r w:rsidRPr="00775E16">
        <w:rPr>
          <w:sz w:val="20"/>
          <w:szCs w:val="20"/>
        </w:rPr>
        <w:t xml:space="preserve">, one of which has been recently described to be an off-target substrate for the </w:t>
      </w:r>
      <w:proofErr w:type="spellStart"/>
      <w:r w:rsidRPr="00775E16">
        <w:rPr>
          <w:sz w:val="20"/>
          <w:szCs w:val="20"/>
        </w:rPr>
        <w:t>Zika</w:t>
      </w:r>
      <w:proofErr w:type="spellEnd"/>
      <w:r w:rsidRPr="00775E16">
        <w:rPr>
          <w:sz w:val="20"/>
          <w:szCs w:val="20"/>
        </w:rPr>
        <w:t xml:space="preserve"> virus protease.  The C-terminal cleavage of </w:t>
      </w:r>
      <w:proofErr w:type="spellStart"/>
      <w:r w:rsidRPr="00775E16">
        <w:rPr>
          <w:sz w:val="20"/>
          <w:szCs w:val="20"/>
        </w:rPr>
        <w:t>septin</w:t>
      </w:r>
      <w:proofErr w:type="spellEnd"/>
      <w:r w:rsidRPr="00775E16">
        <w:rPr>
          <w:sz w:val="20"/>
          <w:szCs w:val="20"/>
        </w:rPr>
        <w:t xml:space="preserve"> 2 leads to deficient cell division in </w:t>
      </w:r>
      <w:proofErr w:type="spellStart"/>
      <w:r w:rsidRPr="00775E16">
        <w:rPr>
          <w:sz w:val="20"/>
          <w:szCs w:val="20"/>
        </w:rPr>
        <w:t>neuroprogenitor</w:t>
      </w:r>
      <w:proofErr w:type="spellEnd"/>
      <w:r w:rsidRPr="00775E16">
        <w:rPr>
          <w:sz w:val="20"/>
          <w:szCs w:val="20"/>
        </w:rPr>
        <w:t xml:space="preserve"> </w:t>
      </w:r>
      <w:proofErr w:type="gramStart"/>
      <w:r w:rsidRPr="00775E16">
        <w:rPr>
          <w:sz w:val="20"/>
          <w:szCs w:val="20"/>
        </w:rPr>
        <w:t>cells  which</w:t>
      </w:r>
      <w:proofErr w:type="gramEnd"/>
      <w:r w:rsidRPr="00775E16">
        <w:rPr>
          <w:sz w:val="20"/>
          <w:szCs w:val="20"/>
        </w:rPr>
        <w:t xml:space="preserve"> is believed to be at least partly responsible for </w:t>
      </w:r>
      <w:proofErr w:type="spellStart"/>
      <w:r w:rsidRPr="00775E16">
        <w:rPr>
          <w:sz w:val="20"/>
          <w:szCs w:val="20"/>
        </w:rPr>
        <w:t>microcephaly</w:t>
      </w:r>
      <w:proofErr w:type="spellEnd"/>
      <w:r w:rsidRPr="00775E16">
        <w:rPr>
          <w:sz w:val="20"/>
          <w:szCs w:val="20"/>
        </w:rPr>
        <w:t xml:space="preserve"> in new-born infants.  </w:t>
      </w:r>
    </w:p>
    <w:p w:rsidR="00A9295F" w:rsidRDefault="00BE279C" w:rsidP="00531E90">
      <w:pPr>
        <w:pStyle w:val="MTDisplayEquation"/>
      </w:pPr>
      <w:r>
        <w:tab/>
      </w:r>
    </w:p>
    <w:p w:rsidR="00592806" w:rsidRDefault="00214CB1" w:rsidP="00160B67">
      <w:pPr>
        <w:autoSpaceDE w:val="0"/>
        <w:autoSpaceDN w:val="0"/>
        <w:adjustRightInd w:val="0"/>
        <w:rPr>
          <w:b/>
          <w:color w:val="000000"/>
          <w:sz w:val="20"/>
          <w:szCs w:val="20"/>
        </w:rPr>
      </w:pPr>
      <w:r>
        <w:rPr>
          <w:b/>
          <w:color w:val="000000"/>
          <w:sz w:val="20"/>
          <w:szCs w:val="20"/>
        </w:rPr>
        <w:t xml:space="preserve">2. </w:t>
      </w:r>
      <w:r w:rsidR="00914CA2">
        <w:rPr>
          <w:b/>
          <w:color w:val="000000"/>
          <w:sz w:val="20"/>
          <w:szCs w:val="20"/>
        </w:rPr>
        <w:t>Results</w:t>
      </w:r>
    </w:p>
    <w:p w:rsidR="00F9475E" w:rsidRDefault="00F9475E" w:rsidP="00160B67">
      <w:pPr>
        <w:autoSpaceDE w:val="0"/>
        <w:autoSpaceDN w:val="0"/>
        <w:adjustRightInd w:val="0"/>
        <w:rPr>
          <w:b/>
          <w:color w:val="000000"/>
          <w:sz w:val="20"/>
          <w:szCs w:val="20"/>
        </w:rPr>
      </w:pPr>
    </w:p>
    <w:p w:rsidR="00775E16" w:rsidRDefault="00775E16" w:rsidP="00775E16">
      <w:pPr>
        <w:rPr>
          <w:sz w:val="20"/>
          <w:szCs w:val="20"/>
        </w:rPr>
      </w:pPr>
      <w:r w:rsidRPr="00775E16">
        <w:rPr>
          <w:sz w:val="20"/>
          <w:szCs w:val="20"/>
        </w:rPr>
        <w:t xml:space="preserve">For the last 15 years we have been attempting to dissect the structure of </w:t>
      </w:r>
      <w:proofErr w:type="spellStart"/>
      <w:r w:rsidRPr="00775E16">
        <w:rPr>
          <w:sz w:val="20"/>
          <w:szCs w:val="20"/>
        </w:rPr>
        <w:t>septins</w:t>
      </w:r>
      <w:proofErr w:type="spellEnd"/>
      <w:r w:rsidRPr="00775E16">
        <w:rPr>
          <w:sz w:val="20"/>
          <w:szCs w:val="20"/>
        </w:rPr>
        <w:t xml:space="preserve"> and thereby shed light on their roles in both physiological and pathological processes.  Our crystallographic studies have been supported by a plethora of biophysical techniques using research infrastructure from around the world and culminating in the determination of the first 3D structure of a </w:t>
      </w:r>
      <w:proofErr w:type="spellStart"/>
      <w:r w:rsidRPr="00775E16">
        <w:rPr>
          <w:sz w:val="20"/>
          <w:szCs w:val="20"/>
        </w:rPr>
        <w:t>hexameric</w:t>
      </w:r>
      <w:proofErr w:type="spellEnd"/>
      <w:r w:rsidRPr="00775E16">
        <w:rPr>
          <w:sz w:val="20"/>
          <w:szCs w:val="20"/>
        </w:rPr>
        <w:t xml:space="preserve"> </w:t>
      </w:r>
      <w:proofErr w:type="spellStart"/>
      <w:r w:rsidRPr="00775E16">
        <w:rPr>
          <w:sz w:val="20"/>
          <w:szCs w:val="20"/>
        </w:rPr>
        <w:t>septin</w:t>
      </w:r>
      <w:proofErr w:type="spellEnd"/>
      <w:r w:rsidRPr="00775E16">
        <w:rPr>
          <w:sz w:val="20"/>
          <w:szCs w:val="20"/>
        </w:rPr>
        <w:t xml:space="preserve"> complex solved by </w:t>
      </w:r>
      <w:proofErr w:type="spellStart"/>
      <w:r w:rsidRPr="00775E16">
        <w:rPr>
          <w:sz w:val="20"/>
          <w:szCs w:val="20"/>
        </w:rPr>
        <w:t>cryo</w:t>
      </w:r>
      <w:proofErr w:type="spellEnd"/>
      <w:r w:rsidRPr="00775E16">
        <w:rPr>
          <w:sz w:val="20"/>
          <w:szCs w:val="20"/>
        </w:rPr>
        <w:t xml:space="preserve">-electron microscopy.    </w:t>
      </w:r>
    </w:p>
    <w:p w:rsidR="00775E16" w:rsidRPr="00775E16" w:rsidRDefault="00775E16" w:rsidP="00775E16">
      <w:pPr>
        <w:rPr>
          <w:sz w:val="20"/>
          <w:szCs w:val="20"/>
        </w:rPr>
      </w:pPr>
    </w:p>
    <w:p w:rsidR="00775E16" w:rsidRPr="00775E16" w:rsidRDefault="00775E16" w:rsidP="00775E16">
      <w:pPr>
        <w:rPr>
          <w:sz w:val="20"/>
          <w:szCs w:val="20"/>
        </w:rPr>
      </w:pPr>
      <w:r w:rsidRPr="00775E16">
        <w:rPr>
          <w:sz w:val="20"/>
          <w:szCs w:val="20"/>
        </w:rPr>
        <w:t xml:space="preserve">The </w:t>
      </w:r>
      <w:proofErr w:type="spellStart"/>
      <w:r w:rsidRPr="00775E16">
        <w:rPr>
          <w:sz w:val="20"/>
          <w:szCs w:val="20"/>
        </w:rPr>
        <w:t>hexamer</w:t>
      </w:r>
      <w:proofErr w:type="spellEnd"/>
      <w:r w:rsidRPr="00775E16">
        <w:rPr>
          <w:sz w:val="20"/>
          <w:szCs w:val="20"/>
        </w:rPr>
        <w:t xml:space="preserve"> is one of the basic building blocks of the mature filaments and its structure, together with the isolated C-terminal fragment, has allowed us to rationalize how cleavage by the viral protease affects filament assembly.   Our studies have also provided insight into how nucleotide binding and hydrolysis affect filament shrinkage and expansion, how filaments bend and recognize membrane curvature and how cross-bridges are formed during filament bundling.  All of the events are important for </w:t>
      </w:r>
      <w:proofErr w:type="spellStart"/>
      <w:r w:rsidRPr="00775E16">
        <w:rPr>
          <w:sz w:val="20"/>
          <w:szCs w:val="20"/>
        </w:rPr>
        <w:t>septin</w:t>
      </w:r>
      <w:proofErr w:type="spellEnd"/>
      <w:r w:rsidRPr="00775E16">
        <w:rPr>
          <w:sz w:val="20"/>
          <w:szCs w:val="20"/>
        </w:rPr>
        <w:t xml:space="preserve"> function and will be described in detail during the talk.  </w:t>
      </w:r>
    </w:p>
    <w:p w:rsidR="00775E16" w:rsidRPr="00775E16" w:rsidRDefault="00775E16" w:rsidP="00775E16">
      <w:pPr>
        <w:rPr>
          <w:sz w:val="20"/>
          <w:szCs w:val="20"/>
        </w:rPr>
      </w:pPr>
    </w:p>
    <w:p w:rsidR="00775E16" w:rsidRDefault="00775E16" w:rsidP="00160B67">
      <w:pPr>
        <w:autoSpaceDE w:val="0"/>
        <w:autoSpaceDN w:val="0"/>
        <w:adjustRightInd w:val="0"/>
        <w:rPr>
          <w:b/>
          <w:color w:val="000000"/>
          <w:sz w:val="20"/>
          <w:szCs w:val="20"/>
        </w:rPr>
      </w:pPr>
    </w:p>
    <w:sectPr w:rsidR="00775E16" w:rsidSect="00EF28F5">
      <w:pgSz w:w="11907" w:h="16840" w:code="9"/>
      <w:pgMar w:top="1418" w:right="1418" w:bottom="1418"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attachedTemplate r:id="rId1"/>
  <w:stylePaneFormatFilter w:val="3F01"/>
  <w:defaultTabStop w:val="352"/>
  <w:characterSpacingControl w:val="doNotCompress"/>
  <w:compat/>
  <w:rsids>
    <w:rsidRoot w:val="00020AF4"/>
    <w:rsid w:val="000154C3"/>
    <w:rsid w:val="00020AF4"/>
    <w:rsid w:val="00021545"/>
    <w:rsid w:val="0002442D"/>
    <w:rsid w:val="00073907"/>
    <w:rsid w:val="00081941"/>
    <w:rsid w:val="000835E4"/>
    <w:rsid w:val="000A1C1A"/>
    <w:rsid w:val="000A3F1F"/>
    <w:rsid w:val="000A7E8F"/>
    <w:rsid w:val="000C6ACD"/>
    <w:rsid w:val="000F516B"/>
    <w:rsid w:val="00115D34"/>
    <w:rsid w:val="00115E33"/>
    <w:rsid w:val="00160B67"/>
    <w:rsid w:val="00171717"/>
    <w:rsid w:val="00193077"/>
    <w:rsid w:val="001944CC"/>
    <w:rsid w:val="001A0E1E"/>
    <w:rsid w:val="001A1F19"/>
    <w:rsid w:val="001A5027"/>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434C"/>
    <w:rsid w:val="003B47AD"/>
    <w:rsid w:val="003C00DF"/>
    <w:rsid w:val="003C6C04"/>
    <w:rsid w:val="003E14AF"/>
    <w:rsid w:val="003E79A0"/>
    <w:rsid w:val="003F416C"/>
    <w:rsid w:val="003F716F"/>
    <w:rsid w:val="00425697"/>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5E16"/>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C2C36"/>
    <w:rsid w:val="00BE279C"/>
    <w:rsid w:val="00BE6574"/>
    <w:rsid w:val="00BF566E"/>
    <w:rsid w:val="00C01D29"/>
    <w:rsid w:val="00C17A65"/>
    <w:rsid w:val="00C5464A"/>
    <w:rsid w:val="00C55098"/>
    <w:rsid w:val="00C57FA4"/>
    <w:rsid w:val="00C67686"/>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 w:val="00FB232B"/>
    <w:rsid w:val="00FB4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C75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creator>rcbotha</dc:creator>
  <cp:lastModifiedBy>Richard Charles Garratt</cp:lastModifiedBy>
  <cp:revision>2</cp:revision>
  <cp:lastPrinted>2010-06-23T09:35:00Z</cp:lastPrinted>
  <dcterms:created xsi:type="dcterms:W3CDTF">2021-10-27T18:17:00Z</dcterms:created>
  <dcterms:modified xsi:type="dcterms:W3CDTF">2021-10-27T18:17:00Z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