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C541F" w:rsidRDefault="005609C2">
      <w:pPr>
        <w:pStyle w:val="Title"/>
      </w:pPr>
      <w:r>
        <w:t>Flame Retardants in the City of Johannesburg EMS fire fighters bunker gear</w:t>
      </w:r>
    </w:p>
    <w:p w:rsidR="00000000" w:rsidRPr="005609C2" w:rsidRDefault="005609C2">
      <w:pPr>
        <w:pStyle w:val="Authors"/>
        <w:rPr>
          <w:vertAlign w:val="superscript"/>
        </w:rPr>
      </w:pPr>
      <w:r>
        <w:t>VN Mokoana</w:t>
      </w:r>
      <w:r>
        <w:rPr>
          <w:vertAlign w:val="superscript"/>
        </w:rPr>
        <w:t>1</w:t>
      </w:r>
      <w:proofErr w:type="gramStart"/>
      <w:r>
        <w:rPr>
          <w:vertAlign w:val="superscript"/>
        </w:rPr>
        <w:t>,2</w:t>
      </w:r>
      <w:proofErr w:type="gramEnd"/>
      <w:r>
        <w:t>, JKO Asante</w:t>
      </w:r>
      <w:r>
        <w:rPr>
          <w:vertAlign w:val="superscript"/>
        </w:rPr>
        <w:t>1</w:t>
      </w:r>
      <w:r>
        <w:t xml:space="preserve"> and OJ Okonkwo</w:t>
      </w:r>
      <w:r>
        <w:rPr>
          <w:vertAlign w:val="superscript"/>
        </w:rPr>
        <w:t>3</w:t>
      </w:r>
    </w:p>
    <w:p w:rsidR="000B324E" w:rsidRDefault="005609C2" w:rsidP="00963C5A">
      <w:pPr>
        <w:pStyle w:val="Addresses"/>
        <w:ind w:left="1411"/>
        <w:contextualSpacing/>
      </w:pPr>
      <w:r w:rsidRPr="00963C5A">
        <w:rPr>
          <w:vertAlign w:val="superscript"/>
        </w:rPr>
        <w:t>1</w:t>
      </w:r>
      <w:r w:rsidR="00963C5A">
        <w:t xml:space="preserve"> </w:t>
      </w:r>
      <w:r w:rsidRPr="00963C5A">
        <w:t>Department</w:t>
      </w:r>
      <w:r>
        <w:t xml:space="preserve"> of Physics, </w:t>
      </w:r>
      <w:r>
        <w:t>Tshwane University of Technology, P/Bag X680</w:t>
      </w:r>
      <w:r>
        <w:t>, Pretoria, South Africa</w:t>
      </w:r>
      <w:r w:rsidR="00963C5A">
        <w:t xml:space="preserve">                                                                                                                      </w:t>
      </w:r>
      <w:r w:rsidRPr="00963C5A">
        <w:rPr>
          <w:vertAlign w:val="superscript"/>
        </w:rPr>
        <w:t>2</w:t>
      </w:r>
      <w:r w:rsidR="00963C5A">
        <w:t xml:space="preserve"> </w:t>
      </w:r>
      <w:r w:rsidRPr="00963C5A">
        <w:t>City</w:t>
      </w:r>
      <w:r w:rsidRPr="00A1303F">
        <w:t xml:space="preserve"> of Johannesburg EMS, 140 Linden Road Sando</w:t>
      </w:r>
      <w:r>
        <w:t>wn, Johannesburg, South Africa</w:t>
      </w:r>
      <w:r w:rsidR="00963C5A">
        <w:t xml:space="preserve"> </w:t>
      </w:r>
      <w:r w:rsidR="00963C5A">
        <w:rPr>
          <w:vertAlign w:val="superscript"/>
        </w:rPr>
        <w:t>3</w:t>
      </w:r>
      <w:r w:rsidR="00963C5A">
        <w:t xml:space="preserve"> Department of </w:t>
      </w:r>
      <w:r w:rsidR="00963C5A" w:rsidRPr="00A1303F">
        <w:t>Environmental, Water &amp; Earth Sciences, Tshwane University of Technology, P/Bag X680, Pretoria, South Africa</w:t>
      </w:r>
    </w:p>
    <w:p w:rsidR="000B324E" w:rsidRDefault="000B324E" w:rsidP="000B324E">
      <w:pPr>
        <w:pStyle w:val="E-mail"/>
      </w:pPr>
      <w:r>
        <w:t>E-mail: Asantejko@tut.ac.za</w:t>
      </w:r>
    </w:p>
    <w:p w:rsidR="000B324E" w:rsidRPr="00E42B67" w:rsidRDefault="000B324E" w:rsidP="000B324E">
      <w:pPr>
        <w:pStyle w:val="Abstract"/>
      </w:pPr>
      <w:r>
        <w:rPr>
          <w:b/>
        </w:rPr>
        <w:t>Abstract</w:t>
      </w:r>
      <w:r w:rsidR="00E42B67">
        <w:t xml:space="preserve">. </w:t>
      </w:r>
      <w:r w:rsidR="00E42B67" w:rsidRPr="00C166A0">
        <w:t>Firefighting protective garment (bunker gea</w:t>
      </w:r>
      <w:r w:rsidR="00E42B67">
        <w:t>r) is the main shield that fire</w:t>
      </w:r>
      <w:r w:rsidR="00E42B67" w:rsidRPr="00C166A0">
        <w:t>fighters use for protection against heat, flame and other hazards during fires. The bunker gear’s thermal protection is enhanced by the addition of flame retardants, which resist ignition and or reduces the rate of fire spread. Five (5) new and three (3) used bunker gears were investigated</w:t>
      </w:r>
      <w:r w:rsidR="00E42B67">
        <w:t xml:space="preserve">. </w:t>
      </w:r>
      <w:r w:rsidR="00E42B67" w:rsidRPr="00C166A0">
        <w:t>Initial investigation of the bunker gear used by th</w:t>
      </w:r>
      <w:r w:rsidR="00E42B67">
        <w:t>e City of Johannesburg EMS fire</w:t>
      </w:r>
      <w:r w:rsidR="00E42B67" w:rsidRPr="00C166A0">
        <w:t>fighter</w:t>
      </w:r>
      <w:r w:rsidR="00E42B67">
        <w:t>s</w:t>
      </w:r>
      <w:r w:rsidR="00E42B67" w:rsidRPr="00C166A0">
        <w:t xml:space="preserve"> is found to contain brominated flame retardants, </w:t>
      </w:r>
      <w:r w:rsidR="00E42B67">
        <w:t>most of which</w:t>
      </w:r>
      <w:r w:rsidR="00E42B67" w:rsidRPr="00C166A0">
        <w:t xml:space="preserve"> have been found to be harmful to human and the environment and have been banned or restricted in most parts of the world. X-ray fluorescence (XRF) scanning measurements showed that all the samples contained significant amount of brominated flame retardants</w:t>
      </w:r>
      <w:r w:rsidR="00E42B67">
        <w:t xml:space="preserve"> ranging from 4915 to 462 ppm</w:t>
      </w:r>
      <w:r w:rsidR="00E42B67" w:rsidRPr="00C166A0">
        <w:t>. Comparison of the old (used in firefighting events) and new samples showed no significant difference in brominated flame retardant content. The fire retardants effects of the samples were inves</w:t>
      </w:r>
      <w:r w:rsidR="00E42B67">
        <w:t>tigated using the Cone Calorim</w:t>
      </w:r>
      <w:r w:rsidR="00E42B67" w:rsidRPr="00C166A0">
        <w:t>eter under 50 and 75 kW.m</w:t>
      </w:r>
      <w:r w:rsidR="00E42B67" w:rsidRPr="00485E0B">
        <w:rPr>
          <w:vertAlign w:val="superscript"/>
        </w:rPr>
        <w:t>-2</w:t>
      </w:r>
      <w:r w:rsidR="00E42B67" w:rsidRPr="00C166A0">
        <w:t xml:space="preserve"> external heat fluxes. Heat release rate, smoke release rate and fire spread measurements on the samples showed low values attributed to the retardants in the bunker gear. The average fire growth rate index (FIGRA) for the samples were found to be 1.88 ± 0.44 kW.s</w:t>
      </w:r>
      <w:r w:rsidR="00E42B67" w:rsidRPr="00A17E5E">
        <w:rPr>
          <w:vertAlign w:val="superscript"/>
        </w:rPr>
        <w:t>-1</w:t>
      </w:r>
      <w:r w:rsidR="00E42B67" w:rsidRPr="00C166A0">
        <w:t xml:space="preserve"> (5 new bunker gears) and 2.63 ± 0.37 kW.s</w:t>
      </w:r>
      <w:r w:rsidR="00E42B67" w:rsidRPr="00A17E5E">
        <w:rPr>
          <w:vertAlign w:val="superscript"/>
        </w:rPr>
        <w:t>-1</w:t>
      </w:r>
      <w:r w:rsidR="00E42B67" w:rsidRPr="00C166A0">
        <w:t xml:space="preserve"> (3 old/used bunker gears) for external irradiation flux of 50 kW.m</w:t>
      </w:r>
      <w:r w:rsidR="00E42B67" w:rsidRPr="004C042C">
        <w:rPr>
          <w:vertAlign w:val="superscript"/>
        </w:rPr>
        <w:t>-2</w:t>
      </w:r>
      <w:r w:rsidR="00E42B67" w:rsidRPr="00C166A0">
        <w:t>. FIGRA values for external heat flux 75 kW.m</w:t>
      </w:r>
      <w:r w:rsidR="00E42B67" w:rsidRPr="004C042C">
        <w:rPr>
          <w:vertAlign w:val="superscript"/>
        </w:rPr>
        <w:t>-2</w:t>
      </w:r>
      <w:r w:rsidR="00E42B67" w:rsidRPr="00C166A0">
        <w:t xml:space="preserve"> were 5.07 ± 1.12 kW.s</w:t>
      </w:r>
      <w:r w:rsidR="00E42B67" w:rsidRPr="004C042C">
        <w:rPr>
          <w:vertAlign w:val="superscript"/>
        </w:rPr>
        <w:t>-1</w:t>
      </w:r>
      <w:r w:rsidR="00E42B67" w:rsidRPr="00C166A0">
        <w:t xml:space="preserve"> and 6.17 ± 0.99 kW.s</w:t>
      </w:r>
      <w:r w:rsidR="00E42B67" w:rsidRPr="004C042C">
        <w:rPr>
          <w:vertAlign w:val="superscript"/>
        </w:rPr>
        <w:t>-1</w:t>
      </w:r>
      <w:r w:rsidR="00E42B67" w:rsidRPr="00C166A0">
        <w:t xml:space="preserve"> for new and old respectively. In the case of smoke growth rate (SMOGRA), values found were 3.12 ± 0.34 and 4.96 ± 0.59 m</w:t>
      </w:r>
      <w:r w:rsidR="00E42B67" w:rsidRPr="005963D9">
        <w:rPr>
          <w:vertAlign w:val="superscript"/>
        </w:rPr>
        <w:t>2</w:t>
      </w:r>
      <w:r w:rsidR="00E42B67" w:rsidRPr="00C166A0">
        <w:t>.s</w:t>
      </w:r>
      <w:r w:rsidR="00E42B67" w:rsidRPr="005963D9">
        <w:rPr>
          <w:vertAlign w:val="superscript"/>
        </w:rPr>
        <w:t>-2</w:t>
      </w:r>
      <w:r w:rsidR="00E42B67" w:rsidRPr="00C166A0">
        <w:t>, respectively for new and used gears under 50 kW.m</w:t>
      </w:r>
      <w:r w:rsidR="00E42B67" w:rsidRPr="005963D9">
        <w:rPr>
          <w:vertAlign w:val="superscript"/>
        </w:rPr>
        <w:t>-2</w:t>
      </w:r>
      <w:r w:rsidR="00E42B67" w:rsidRPr="00C166A0">
        <w:t xml:space="preserve"> irradiation and 13.26 ± 3.63 and 14.60 ± 2.37 m</w:t>
      </w:r>
      <w:r w:rsidR="00E42B67" w:rsidRPr="005963D9">
        <w:rPr>
          <w:vertAlign w:val="superscript"/>
        </w:rPr>
        <w:t>2</w:t>
      </w:r>
      <w:r w:rsidR="00E42B67" w:rsidRPr="00C166A0">
        <w:t>.s</w:t>
      </w:r>
      <w:r w:rsidR="00E42B67" w:rsidRPr="005963D9">
        <w:rPr>
          <w:vertAlign w:val="superscript"/>
        </w:rPr>
        <w:t>-2</w:t>
      </w:r>
      <w:r w:rsidR="00E42B67">
        <w:t xml:space="preserve"> </w:t>
      </w:r>
      <w:r w:rsidR="00E42B67" w:rsidRPr="00C166A0">
        <w:t>under 75 kW.m</w:t>
      </w:r>
      <w:r w:rsidR="00E42B67">
        <w:rPr>
          <w:vertAlign w:val="superscript"/>
        </w:rPr>
        <w:t>-2</w:t>
      </w:r>
      <w:r w:rsidR="00E42B67">
        <w:t xml:space="preserve"> heat fluxes.</w:t>
      </w:r>
    </w:p>
    <w:p w:rsidR="000B324E" w:rsidRDefault="00E42B67" w:rsidP="000B324E">
      <w:pPr>
        <w:pStyle w:val="Section"/>
      </w:pPr>
      <w:r>
        <w:t>Introduction</w:t>
      </w:r>
    </w:p>
    <w:p w:rsidR="000B324E" w:rsidRDefault="00E42B67" w:rsidP="000B324E">
      <w:pPr>
        <w:pStyle w:val="Bodytext"/>
      </w:pPr>
      <w:r w:rsidRPr="00D6332B">
        <w:t>Firefighters make use of personal protective equipment</w:t>
      </w:r>
      <w:r>
        <w:t xml:space="preserve"> </w:t>
      </w:r>
      <w:r w:rsidRPr="00D6332B">
        <w:t xml:space="preserve">and clothing </w:t>
      </w:r>
      <w:r>
        <w:t>when performing firefighting and other similar activities.</w:t>
      </w:r>
      <w:r>
        <w:rPr>
          <w:rFonts w:ascii="Sabon" w:hAnsi="Sabon"/>
          <w:color w:val="auto"/>
          <w:szCs w:val="20"/>
        </w:rPr>
        <w:t xml:space="preserve"> </w:t>
      </w:r>
      <w:r w:rsidRPr="005A37E4">
        <w:t xml:space="preserve">Firefighter’s protective clothing provides shield and </w:t>
      </w:r>
      <w:r>
        <w:t>act as the first line of protection</w:t>
      </w:r>
      <w:r w:rsidRPr="005A37E4">
        <w:t xml:space="preserve"> against flames, heat, smoke, steam and hazardous chemicals mostly encountered during </w:t>
      </w:r>
      <w:r w:rsidRPr="005A37E4">
        <w:rPr>
          <w:lang w:val="en-ZA"/>
        </w:rPr>
        <w:t xml:space="preserve">firefighting </w:t>
      </w:r>
      <w:r w:rsidRPr="005A37E4">
        <w:t>[</w:t>
      </w:r>
      <w:r>
        <w:t>1,2</w:t>
      </w:r>
      <w:r w:rsidRPr="005A37E4">
        <w:t>].</w:t>
      </w:r>
      <w:r>
        <w:t xml:space="preserve"> </w:t>
      </w:r>
      <w:r w:rsidRPr="00F61F99">
        <w:t>Firefighter protective clothing comprises coat and trouser (bunker gear), helmet, safety boots, gloves, hood and safety googles</w:t>
      </w:r>
      <w:r>
        <w:t xml:space="preserve">. However, most of the thermal protection is offered by the bunker gear.  </w:t>
      </w:r>
      <w:r w:rsidRPr="00CC21C7">
        <w:t xml:space="preserve">Heat transfer </w:t>
      </w:r>
      <w:r>
        <w:t xml:space="preserve">in fire conditions </w:t>
      </w:r>
      <w:r w:rsidRPr="00CC21C7">
        <w:t>through the firefighter’s clothing is</w:t>
      </w:r>
      <w:r>
        <w:t xml:space="preserve"> </w:t>
      </w:r>
      <w:r w:rsidRPr="00CC21C7">
        <w:t>largely due to radiant energy</w:t>
      </w:r>
      <w:r>
        <w:t xml:space="preserve"> </w:t>
      </w:r>
      <w:r w:rsidRPr="005A37E4">
        <w:t>[</w:t>
      </w:r>
      <w:r>
        <w:t>3</w:t>
      </w:r>
      <w:r w:rsidRPr="005A37E4">
        <w:t>].</w:t>
      </w:r>
      <w:r w:rsidR="00322005">
        <w:t xml:space="preserve"> </w:t>
      </w:r>
      <w:r w:rsidR="00322005" w:rsidRPr="00590676">
        <w:t>Bunker gear comprises three separate layers: an outer shell (outer layer), a thermal liner (middle layer) and a moisture barrier (inner layer).</w:t>
      </w:r>
      <w:r w:rsidR="00322005" w:rsidRPr="003F6F3F">
        <w:rPr>
          <w:rFonts w:ascii="Times New Roman" w:eastAsia="Calibri" w:hAnsi="Times New Roman"/>
          <w:color w:val="auto"/>
          <w:sz w:val="24"/>
          <w:szCs w:val="24"/>
        </w:rPr>
        <w:t xml:space="preserve"> </w:t>
      </w:r>
      <w:r w:rsidR="00322005" w:rsidRPr="003F6F3F">
        <w:t xml:space="preserve">The outer shell provides a tough, durable first </w:t>
      </w:r>
      <w:r w:rsidR="00322005" w:rsidRPr="003F6F3F">
        <w:lastRenderedPageBreak/>
        <w:t xml:space="preserve">line of </w:t>
      </w:r>
      <w:proofErr w:type="spellStart"/>
      <w:r w:rsidR="00322005" w:rsidRPr="003F6F3F">
        <w:t>defence</w:t>
      </w:r>
      <w:proofErr w:type="spellEnd"/>
      <w:r w:rsidR="00322005" w:rsidRPr="003F6F3F">
        <w:t xml:space="preserve"> ag</w:t>
      </w:r>
      <w:r w:rsidR="00322005">
        <w:t xml:space="preserve">ainst heat, flame and abrasion </w:t>
      </w:r>
      <w:r w:rsidR="00322005" w:rsidRPr="005A37E4">
        <w:t>[</w:t>
      </w:r>
      <w:r w:rsidR="00322005">
        <w:t>4</w:t>
      </w:r>
      <w:proofErr w:type="gramStart"/>
      <w:r w:rsidR="00322005">
        <w:t>,5,6</w:t>
      </w:r>
      <w:proofErr w:type="gramEnd"/>
      <w:r w:rsidR="00322005">
        <w:t>]</w:t>
      </w:r>
      <w:r w:rsidR="00322005" w:rsidRPr="003F6F3F">
        <w:t xml:space="preserve">. The thermal liner provides insulation against heat penetration encountered during firefighting while the moisture barrier prevents water and other fire-ground liquids from entering the gear, keeping the thermal liner dry and ultimately the firefighter’s body protected from these outside elements </w:t>
      </w:r>
      <w:r w:rsidR="00322005" w:rsidRPr="005A37E4">
        <w:t>[</w:t>
      </w:r>
      <w:r w:rsidR="00322005">
        <w:t>7</w:t>
      </w:r>
      <w:proofErr w:type="gramStart"/>
      <w:r w:rsidR="00322005">
        <w:t>,8,6</w:t>
      </w:r>
      <w:proofErr w:type="gramEnd"/>
      <w:r w:rsidR="00322005">
        <w:t>]</w:t>
      </w:r>
      <w:r w:rsidR="00322005" w:rsidRPr="003F6F3F">
        <w:t xml:space="preserve">. </w:t>
      </w:r>
    </w:p>
    <w:p w:rsidR="00322005" w:rsidRDefault="00322005" w:rsidP="00322005">
      <w:pPr>
        <w:pStyle w:val="BodyChar"/>
        <w:tabs>
          <w:tab w:val="clear" w:pos="567"/>
        </w:tabs>
        <w:ind w:firstLine="284"/>
        <w:rPr>
          <w:lang w:val="en-US"/>
        </w:rPr>
      </w:pPr>
      <w:r>
        <w:t xml:space="preserve">To meet safety standards, firefighter garments are tested and certified according to </w:t>
      </w:r>
      <w:r w:rsidRPr="003700BC">
        <w:t>the minimum requirements of the National Fire Protection Agency (NFPA) 1971 standard. The NFPA 1971 (</w:t>
      </w:r>
      <w:r w:rsidRPr="00847B23">
        <w:t>2013 edition</w:t>
      </w:r>
      <w:r w:rsidRPr="003700BC">
        <w:t>) specifies the minimum design, testing, performance, and certification requirement</w:t>
      </w:r>
      <w:r>
        <w:t>.</w:t>
      </w:r>
      <w:r w:rsidRPr="003700BC">
        <w:t xml:space="preserve"> </w:t>
      </w:r>
      <w:r>
        <w:t>In order to meet the minimum prescribed requirements and</w:t>
      </w:r>
      <w:r w:rsidRPr="008C1F9F">
        <w:t xml:space="preserve"> achieve superior thermal perform</w:t>
      </w:r>
      <w:r>
        <w:t xml:space="preserve">ance, firefighting protective garments are </w:t>
      </w:r>
      <w:r w:rsidRPr="008C1F9F">
        <w:t>constructed from flame retardant fabrics</w:t>
      </w:r>
      <w:r>
        <w:t xml:space="preserve">. Flame retardant fabrics are achieved by adding flame retardant chemicals and or using inherent flame retardant fibres. </w:t>
      </w:r>
      <w:r w:rsidRPr="00FF3728">
        <w:t>Flame retardants are specifically designed to reduce or halt the spread of fire, allowing the exposed people to escape without harm</w:t>
      </w:r>
      <w:r>
        <w:t xml:space="preserve">. </w:t>
      </w:r>
      <w:r w:rsidRPr="0037183A">
        <w:rPr>
          <w:lang w:val="en-US"/>
        </w:rPr>
        <w:t>With higher retardan</w:t>
      </w:r>
      <w:r>
        <w:rPr>
          <w:lang w:val="en-US"/>
        </w:rPr>
        <w:t>t</w:t>
      </w:r>
      <w:r w:rsidRPr="0037183A">
        <w:rPr>
          <w:lang w:val="en-US"/>
        </w:rPr>
        <w:t xml:space="preserve"> efficiency and lower decomposing temperature,</w:t>
      </w:r>
      <w:r>
        <w:rPr>
          <w:lang w:val="en-US"/>
        </w:rPr>
        <w:t xml:space="preserve"> brominated flame retardants (BFR)</w:t>
      </w:r>
      <w:r w:rsidRPr="0037183A">
        <w:rPr>
          <w:lang w:val="en-US"/>
        </w:rPr>
        <w:t xml:space="preserve">, have become more popular as flame retardants than their halogen counterparts </w:t>
      </w:r>
      <w:r w:rsidRPr="005A37E4">
        <w:t>[</w:t>
      </w:r>
      <w:r>
        <w:t>9]</w:t>
      </w:r>
      <w:r w:rsidRPr="0037183A">
        <w:rPr>
          <w:lang w:val="en-US"/>
        </w:rPr>
        <w:t>.</w:t>
      </w:r>
      <w:r>
        <w:rPr>
          <w:lang w:val="en-US"/>
        </w:rPr>
        <w:t xml:space="preserve"> However, recently, BFRs have received considerable attention due to their toxicity to human and the environment.</w:t>
      </w:r>
      <w:r w:rsidRPr="0037183A">
        <w:rPr>
          <w:lang w:val="en-US"/>
        </w:rPr>
        <w:t xml:space="preserve"> </w:t>
      </w:r>
      <w:r w:rsidRPr="0072601D">
        <w:rPr>
          <w:lang w:val="en-US"/>
        </w:rPr>
        <w:t xml:space="preserve">Some </w:t>
      </w:r>
      <w:r>
        <w:rPr>
          <w:lang w:val="en-US"/>
        </w:rPr>
        <w:t>BFRs</w:t>
      </w:r>
      <w:r w:rsidRPr="0072601D">
        <w:rPr>
          <w:lang w:val="en-US"/>
        </w:rPr>
        <w:t xml:space="preserve"> were identified as persistent, bio-accumulative, and toxic to both humans and the environment and were suspected of causing neurobehavioral effects and endocrine disruption </w:t>
      </w:r>
      <w:r w:rsidRPr="005A37E4">
        <w:t>[</w:t>
      </w:r>
      <w:r>
        <w:t>10]</w:t>
      </w:r>
      <w:r w:rsidRPr="0072601D">
        <w:rPr>
          <w:lang w:val="en-US"/>
        </w:rPr>
        <w:t>.</w:t>
      </w:r>
      <w:r>
        <w:rPr>
          <w:lang w:val="en-US"/>
        </w:rPr>
        <w:t xml:space="preserve"> The most economical and convenient route of introducing flame retardants is by mixing and blending them with the </w:t>
      </w:r>
      <w:r w:rsidRPr="00D80471">
        <w:rPr>
          <w:lang w:val="en-US"/>
        </w:rPr>
        <w:t xml:space="preserve">fabric/polymer, a process which could lead to leaching out the </w:t>
      </w:r>
      <w:proofErr w:type="spellStart"/>
      <w:r w:rsidRPr="00D80471">
        <w:rPr>
          <w:lang w:val="en-US"/>
        </w:rPr>
        <w:t>retandants</w:t>
      </w:r>
      <w:proofErr w:type="spellEnd"/>
      <w:r w:rsidRPr="00D80471">
        <w:rPr>
          <w:lang w:val="en-US"/>
        </w:rPr>
        <w:t xml:space="preserve"> into</w:t>
      </w:r>
      <w:r>
        <w:rPr>
          <w:lang w:val="en-US"/>
        </w:rPr>
        <w:t xml:space="preserve"> the environment </w:t>
      </w:r>
      <w:r w:rsidRPr="005A37E4">
        <w:t>[</w:t>
      </w:r>
      <w:r>
        <w:t>9]</w:t>
      </w:r>
      <w:r w:rsidRPr="003F6F3F">
        <w:t xml:space="preserve">. </w:t>
      </w:r>
    </w:p>
    <w:p w:rsidR="00322005" w:rsidRPr="00321EA4" w:rsidRDefault="00322005" w:rsidP="00322005">
      <w:pPr>
        <w:pStyle w:val="BodyChar"/>
        <w:tabs>
          <w:tab w:val="clear" w:pos="567"/>
        </w:tabs>
        <w:ind w:firstLine="284"/>
        <w:rPr>
          <w:lang w:val="en-US"/>
        </w:rPr>
      </w:pPr>
      <w:r w:rsidRPr="00EF2FEF">
        <w:rPr>
          <w:lang w:val="en-US"/>
        </w:rPr>
        <w:t xml:space="preserve">Noting the possible hazards </w:t>
      </w:r>
      <w:r>
        <w:rPr>
          <w:lang w:val="en-US"/>
        </w:rPr>
        <w:t xml:space="preserve">to human and the environment, however, some </w:t>
      </w:r>
      <w:r w:rsidRPr="00EF2FEF">
        <w:rPr>
          <w:lang w:val="en-US"/>
        </w:rPr>
        <w:t>B</w:t>
      </w:r>
      <w:r>
        <w:rPr>
          <w:lang w:val="en-US"/>
        </w:rPr>
        <w:t xml:space="preserve">FRs were listed </w:t>
      </w:r>
      <w:r w:rsidRPr="00EF2FEF">
        <w:rPr>
          <w:lang w:val="en-US"/>
        </w:rPr>
        <w:t>under the Restriction of Hazardous Substances Directive (RoHS) as a "restricted substance" group</w:t>
      </w:r>
      <w:r>
        <w:rPr>
          <w:lang w:val="en-US"/>
        </w:rPr>
        <w:t xml:space="preserve"> (</w:t>
      </w:r>
      <w:proofErr w:type="spellStart"/>
      <w:r>
        <w:rPr>
          <w:lang w:val="en-US"/>
        </w:rPr>
        <w:t>polybrominated</w:t>
      </w:r>
      <w:proofErr w:type="spellEnd"/>
      <w:r>
        <w:rPr>
          <w:lang w:val="en-US"/>
        </w:rPr>
        <w:t xml:space="preserve"> biphenyls) in 2003 </w:t>
      </w:r>
      <w:r w:rsidRPr="005A37E4">
        <w:t>[</w:t>
      </w:r>
      <w:r>
        <w:t>10]</w:t>
      </w:r>
      <w:r>
        <w:rPr>
          <w:lang w:val="en-US"/>
        </w:rPr>
        <w:t xml:space="preserve">, and </w:t>
      </w:r>
      <w:r w:rsidRPr="00F75B5B">
        <w:rPr>
          <w:lang w:val="en-US"/>
        </w:rPr>
        <w:t>the Stockholm C</w:t>
      </w:r>
      <w:r>
        <w:rPr>
          <w:lang w:val="en-US"/>
        </w:rPr>
        <w:t>onvention</w:t>
      </w:r>
      <w:r w:rsidRPr="00C27214">
        <w:rPr>
          <w:lang w:val="en-US"/>
        </w:rPr>
        <w:t xml:space="preserve"> </w:t>
      </w:r>
      <w:r>
        <w:rPr>
          <w:lang w:val="en-US"/>
        </w:rPr>
        <w:t>(</w:t>
      </w:r>
      <w:proofErr w:type="spellStart"/>
      <w:r w:rsidRPr="00C27214">
        <w:rPr>
          <w:lang w:val="en-US"/>
        </w:rPr>
        <w:t>polybrominated</w:t>
      </w:r>
      <w:proofErr w:type="spellEnd"/>
      <w:r w:rsidRPr="00C27214">
        <w:rPr>
          <w:lang w:val="en-US"/>
        </w:rPr>
        <w:t xml:space="preserve"> diphenyl ethers</w:t>
      </w:r>
      <w:r>
        <w:rPr>
          <w:lang w:val="en-US"/>
        </w:rPr>
        <w:t xml:space="preserve"> - PBDE) in 2009 </w:t>
      </w:r>
      <w:r w:rsidRPr="005A37E4">
        <w:t>[</w:t>
      </w:r>
      <w:r>
        <w:t>11]</w:t>
      </w:r>
      <w:r>
        <w:rPr>
          <w:lang w:val="en-US"/>
        </w:rPr>
        <w:t>.</w:t>
      </w:r>
      <w:r>
        <w:t xml:space="preserve"> </w:t>
      </w:r>
      <w:r w:rsidRPr="00274D75">
        <w:rPr>
          <w:lang w:val="en-US"/>
        </w:rPr>
        <w:t xml:space="preserve">Despite the restrictions of </w:t>
      </w:r>
      <w:r>
        <w:rPr>
          <w:lang w:val="en-US"/>
        </w:rPr>
        <w:t>some BFRs by most countries</w:t>
      </w:r>
      <w:r w:rsidRPr="00274D75">
        <w:rPr>
          <w:lang w:val="en-US"/>
        </w:rPr>
        <w:t>, there are growing concerns that some of the bunker gears used in the City of Johannesburg Fire Services may still contain some of these chemicals and their congeners.</w:t>
      </w:r>
      <w:r>
        <w:rPr>
          <w:lang w:val="en-US"/>
        </w:rPr>
        <w:t xml:space="preserve"> Furthermore, </w:t>
      </w:r>
      <w:r>
        <w:t>r</w:t>
      </w:r>
      <w:r w:rsidRPr="001E5EE1">
        <w:t xml:space="preserve">ecent findings show that significant concentrations of </w:t>
      </w:r>
      <w:r>
        <w:t>BFRs (</w:t>
      </w:r>
      <w:r w:rsidRPr="001E5EE1">
        <w:t>PBDEs</w:t>
      </w:r>
      <w:r>
        <w:t xml:space="preserve"> specifically)</w:t>
      </w:r>
      <w:r w:rsidRPr="001E5EE1">
        <w:t xml:space="preserve"> are found in personal protective clothing worn in contact with the skin</w:t>
      </w:r>
      <w:r>
        <w:t xml:space="preserve"> </w:t>
      </w:r>
      <w:r w:rsidRPr="005A37E4">
        <w:t>[</w:t>
      </w:r>
      <w:r>
        <w:t>12].</w:t>
      </w:r>
    </w:p>
    <w:p w:rsidR="000B324E" w:rsidRDefault="00322005" w:rsidP="00322005">
      <w:pPr>
        <w:pStyle w:val="BodyChar"/>
        <w:tabs>
          <w:tab w:val="clear" w:pos="567"/>
        </w:tabs>
        <w:ind w:firstLine="284"/>
      </w:pPr>
      <w:r>
        <w:t>The present study seeks</w:t>
      </w:r>
      <w:r w:rsidRPr="00791A9C">
        <w:t xml:space="preserve"> to analyse the material composition </w:t>
      </w:r>
      <w:r>
        <w:t xml:space="preserve">and </w:t>
      </w:r>
      <w:r w:rsidRPr="00791A9C">
        <w:t xml:space="preserve">thermal properties of the firefighting bunker gear and to understand the </w:t>
      </w:r>
      <w:r>
        <w:t>performance</w:t>
      </w:r>
      <w:r w:rsidRPr="00791A9C">
        <w:t xml:space="preserve"> of </w:t>
      </w:r>
      <w:r>
        <w:t>flame retardants</w:t>
      </w:r>
      <w:r w:rsidRPr="00791A9C">
        <w:t xml:space="preserve"> when exposed to fire conditions</w:t>
      </w:r>
      <w:r>
        <w:t xml:space="preserve">. </w:t>
      </w:r>
      <w:r w:rsidRPr="006614F8">
        <w:rPr>
          <w:lang w:val="en-ZA"/>
        </w:rPr>
        <w:t>The main objectiv</w:t>
      </w:r>
      <w:r>
        <w:rPr>
          <w:lang w:val="en-ZA"/>
        </w:rPr>
        <w:t xml:space="preserve">es of this research were to </w:t>
      </w:r>
      <w:r w:rsidRPr="006614F8">
        <w:rPr>
          <w:lang w:val="en-ZA"/>
        </w:rPr>
        <w:t>analyse the material composition of structural firefighting bunker used in the City of Johannesburg EMS</w:t>
      </w:r>
      <w:r>
        <w:rPr>
          <w:lang w:val="en-ZA"/>
        </w:rPr>
        <w:t>,</w:t>
      </w:r>
      <w:r w:rsidRPr="006614F8">
        <w:rPr>
          <w:lang w:val="en-ZA"/>
        </w:rPr>
        <w:t xml:space="preserve"> identify and quantify </w:t>
      </w:r>
      <w:r w:rsidRPr="006614F8">
        <w:t>BFRs, specifically PBDEs and their congeners in the garment</w:t>
      </w:r>
      <w:r>
        <w:rPr>
          <w:lang w:val="en-ZA"/>
        </w:rPr>
        <w:t>,</w:t>
      </w:r>
      <w:r w:rsidRPr="006614F8">
        <w:rPr>
          <w:lang w:val="en-ZA"/>
        </w:rPr>
        <w:t xml:space="preserve"> evaluate the thermal performance and </w:t>
      </w:r>
      <w:r w:rsidRPr="006614F8">
        <w:t xml:space="preserve">combustion </w:t>
      </w:r>
      <w:r>
        <w:t>behaviour of bunker gear fabric.</w:t>
      </w:r>
    </w:p>
    <w:p w:rsidR="00000000" w:rsidRDefault="00322005">
      <w:pPr>
        <w:pStyle w:val="Section"/>
      </w:pPr>
      <w:r>
        <w:t>Materials and methods</w:t>
      </w:r>
    </w:p>
    <w:p w:rsidR="005744BA" w:rsidRDefault="00322005" w:rsidP="005744BA">
      <w:pPr>
        <w:pStyle w:val="Bodytext"/>
        <w:tabs>
          <w:tab w:val="left" w:pos="450"/>
        </w:tabs>
      </w:pPr>
      <w:r>
        <w:t>2.1</w:t>
      </w:r>
      <w:proofErr w:type="gramStart"/>
      <w:r w:rsidR="005744BA">
        <w:t>.</w:t>
      </w:r>
      <w:r>
        <w:t xml:space="preserve"> </w:t>
      </w:r>
      <w:r w:rsidR="005744BA">
        <w:t xml:space="preserve"> </w:t>
      </w:r>
      <w:r>
        <w:t>Garment</w:t>
      </w:r>
      <w:proofErr w:type="gramEnd"/>
      <w:r>
        <w:t xml:space="preserve"> and Chemical composition                                                                                              </w:t>
      </w:r>
    </w:p>
    <w:p w:rsidR="005744BA" w:rsidRDefault="005744BA" w:rsidP="005744BA">
      <w:pPr>
        <w:pStyle w:val="BodyChar"/>
      </w:pPr>
      <w:r>
        <w:t xml:space="preserve">Firefighting </w:t>
      </w:r>
      <w:r w:rsidRPr="00C86AF0">
        <w:rPr>
          <w:bCs/>
        </w:rPr>
        <w:t xml:space="preserve">garment bromine (Br) content </w:t>
      </w:r>
      <w:r>
        <w:rPr>
          <w:bCs/>
        </w:rPr>
        <w:t xml:space="preserve">was measured using </w:t>
      </w:r>
      <w:r>
        <w:t>the</w:t>
      </w:r>
      <w:r w:rsidRPr="00750FB2">
        <w:rPr>
          <w:rFonts w:ascii="Times New Roman" w:hAnsi="Times New Roman"/>
          <w:bCs/>
          <w:color w:val="auto"/>
          <w:sz w:val="24"/>
          <w:szCs w:val="24"/>
        </w:rPr>
        <w:t xml:space="preserve"> </w:t>
      </w:r>
      <w:r w:rsidRPr="00C86AF0">
        <w:rPr>
          <w:bCs/>
        </w:rPr>
        <w:t>Delta handh</w:t>
      </w:r>
      <w:r>
        <w:rPr>
          <w:bCs/>
        </w:rPr>
        <w:t>eld XRF</w:t>
      </w:r>
      <w:r w:rsidRPr="00C86AF0">
        <w:rPr>
          <w:bCs/>
        </w:rPr>
        <w:t>.</w:t>
      </w:r>
      <w:r>
        <w:rPr>
          <w:bCs/>
        </w:rPr>
        <w:t xml:space="preserve"> Sample analysis was performed</w:t>
      </w:r>
      <w:r w:rsidRPr="00C86AF0">
        <w:rPr>
          <w:bCs/>
        </w:rPr>
        <w:t xml:space="preserve"> under Restriction of Hazardous Materials and Waste Electrical and Electronic Equipment Directive (RoHS/WEE</w:t>
      </w:r>
      <w:r>
        <w:rPr>
          <w:bCs/>
        </w:rPr>
        <w:t>E</w:t>
      </w:r>
      <w:r w:rsidRPr="00C86AF0">
        <w:rPr>
          <w:bCs/>
        </w:rPr>
        <w:t xml:space="preserve">) mode and the analytical time was set at 30 s. </w:t>
      </w:r>
      <w:r>
        <w:t xml:space="preserve">  </w:t>
      </w:r>
    </w:p>
    <w:p w:rsidR="005744BA" w:rsidRDefault="005744BA" w:rsidP="005744BA">
      <w:pPr>
        <w:pStyle w:val="BodyChar"/>
      </w:pPr>
    </w:p>
    <w:p w:rsidR="005744BA" w:rsidRDefault="005744BA" w:rsidP="005744BA">
      <w:pPr>
        <w:pStyle w:val="BodyChar"/>
        <w:tabs>
          <w:tab w:val="clear" w:pos="567"/>
          <w:tab w:val="left" w:pos="450"/>
        </w:tabs>
      </w:pPr>
      <w:r>
        <w:t>2.2</w:t>
      </w:r>
      <w:proofErr w:type="gramStart"/>
      <w:r>
        <w:t xml:space="preserve">. </w:t>
      </w:r>
      <w:r>
        <w:t xml:space="preserve"> </w:t>
      </w:r>
      <w:r>
        <w:t>Thermal</w:t>
      </w:r>
      <w:proofErr w:type="gramEnd"/>
      <w:r>
        <w:t xml:space="preserve"> performance analysis</w:t>
      </w:r>
    </w:p>
    <w:p w:rsidR="005744BA" w:rsidRPr="00193E49" w:rsidRDefault="005744BA" w:rsidP="005744BA">
      <w:pPr>
        <w:pStyle w:val="BodyChar"/>
        <w:rPr>
          <w:iCs/>
          <w:lang w:val="en-ZA"/>
        </w:rPr>
      </w:pPr>
      <w:r w:rsidRPr="00F952ED">
        <w:rPr>
          <w:iCs/>
          <w:lang w:val="en-ZA"/>
        </w:rPr>
        <w:t>A cone calorimeter supplied by Fire Testing Technology Limited (FTT) was used for testing of the samples following ISO 5660-1 standard (Part1: Heat Release Rate)</w:t>
      </w:r>
      <w:r>
        <w:rPr>
          <w:lang w:val="en-ZA"/>
        </w:rPr>
        <w:t>.</w:t>
      </w:r>
      <w:r>
        <w:rPr>
          <w:iCs/>
          <w:lang w:val="en-ZA"/>
        </w:rPr>
        <w:t xml:space="preserve"> </w:t>
      </w:r>
      <w:r w:rsidRPr="00193E49">
        <w:rPr>
          <w:iCs/>
          <w:lang w:val="en-ZA"/>
        </w:rPr>
        <w:t>According to ISO 5660, the samples were cut to 100×100</w:t>
      </w:r>
      <w:r>
        <w:rPr>
          <w:iCs/>
          <w:lang w:val="en-ZA"/>
        </w:rPr>
        <w:t xml:space="preserve"> </w:t>
      </w:r>
      <w:r w:rsidRPr="00193E49">
        <w:rPr>
          <w:iCs/>
          <w:lang w:val="en-ZA"/>
        </w:rPr>
        <w:t>mm</w:t>
      </w:r>
      <w:r w:rsidRPr="00193E49">
        <w:rPr>
          <w:iCs/>
          <w:vertAlign w:val="superscript"/>
          <w:lang w:val="en-ZA"/>
        </w:rPr>
        <w:t>2</w:t>
      </w:r>
      <w:r w:rsidRPr="00193E49">
        <w:rPr>
          <w:iCs/>
          <w:lang w:val="en-ZA"/>
        </w:rPr>
        <w:t xml:space="preserve"> sizes </w:t>
      </w:r>
      <w:r>
        <w:rPr>
          <w:iCs/>
          <w:lang w:val="en-ZA"/>
        </w:rPr>
        <w:t>and placed over</w:t>
      </w:r>
      <w:r w:rsidRPr="00193E49">
        <w:rPr>
          <w:iCs/>
          <w:lang w:val="en-ZA"/>
        </w:rPr>
        <w:t xml:space="preserve"> a heavy duty aluminium foil with a size 120×120 mm</w:t>
      </w:r>
      <w:r w:rsidRPr="00193E49">
        <w:rPr>
          <w:iCs/>
          <w:vertAlign w:val="superscript"/>
          <w:lang w:val="en-ZA"/>
        </w:rPr>
        <w:t xml:space="preserve">2 </w:t>
      </w:r>
      <w:r w:rsidRPr="00193E49">
        <w:rPr>
          <w:iCs/>
          <w:lang w:val="en-ZA"/>
        </w:rPr>
        <w:t>with the shining part facing the sample. The foil was then fo</w:t>
      </w:r>
      <w:r>
        <w:rPr>
          <w:iCs/>
          <w:lang w:val="en-ZA"/>
        </w:rPr>
        <w:t>lded</w:t>
      </w:r>
      <w:r w:rsidRPr="00193E49">
        <w:rPr>
          <w:iCs/>
          <w:lang w:val="en-ZA"/>
        </w:rPr>
        <w:t xml:space="preserve"> on the edges to cover the sample edges and the corners. The prepared sample was then placed over ceramic fibre back packing and put inside a square metal sample holder. A sample retaining wire grid was used to hold the sample in place to avoid the suctioning of the sample or foil by the hood during measurements. </w:t>
      </w:r>
    </w:p>
    <w:p w:rsidR="005744BA" w:rsidRPr="00193E49" w:rsidRDefault="005744BA" w:rsidP="005744BA">
      <w:pPr>
        <w:pStyle w:val="BodyChar"/>
        <w:tabs>
          <w:tab w:val="left" w:pos="1134"/>
        </w:tabs>
        <w:ind w:firstLine="270"/>
        <w:rPr>
          <w:i/>
          <w:iCs/>
          <w:lang w:val="en-ZA"/>
        </w:rPr>
      </w:pPr>
      <w:r w:rsidRPr="00193E49">
        <w:rPr>
          <w:iCs/>
          <w:lang w:val="en-ZA"/>
        </w:rPr>
        <w:t xml:space="preserve">Tests were conducted to measure the </w:t>
      </w:r>
      <w:r>
        <w:rPr>
          <w:iCs/>
          <w:lang w:val="en-ZA"/>
        </w:rPr>
        <w:t>time to ignition (</w:t>
      </w:r>
      <w:r w:rsidRPr="00193E49">
        <w:rPr>
          <w:iCs/>
          <w:lang w:val="en-ZA"/>
        </w:rPr>
        <w:t>TTI</w:t>
      </w:r>
      <w:r>
        <w:rPr>
          <w:iCs/>
          <w:lang w:val="en-ZA"/>
        </w:rPr>
        <w:t>), heat release rate (HRR) and smoke production rate (SPR) and other derived parameters such as Fire Growth Index Rate (FIGRA).</w:t>
      </w:r>
      <w:r w:rsidRPr="00193E49">
        <w:rPr>
          <w:iCs/>
          <w:lang w:val="en-ZA"/>
        </w:rPr>
        <w:t xml:space="preserve"> </w:t>
      </w:r>
      <w:r>
        <w:t>The lower the FIGRA rating, the lower is the burn hazard from a given fabric once it is ignited [13].</w:t>
      </w:r>
    </w:p>
    <w:p w:rsidR="00B11CA3" w:rsidRDefault="005744BA" w:rsidP="00B11CA3">
      <w:pPr>
        <w:pStyle w:val="BodyChar"/>
      </w:pPr>
      <w:r w:rsidRPr="00193E49">
        <w:rPr>
          <w:iCs/>
          <w:lang w:val="en-ZA"/>
        </w:rPr>
        <w:lastRenderedPageBreak/>
        <w:t>Two different predetermined heat fluxe</w:t>
      </w:r>
      <w:r>
        <w:rPr>
          <w:iCs/>
          <w:lang w:val="en-ZA"/>
        </w:rPr>
        <w:t xml:space="preserve">s, 50 </w:t>
      </w:r>
      <w:r w:rsidRPr="00193E49">
        <w:rPr>
          <w:iCs/>
          <w:lang w:val="en-ZA"/>
        </w:rPr>
        <w:t>kW</w:t>
      </w:r>
      <w:r>
        <w:rPr>
          <w:iCs/>
          <w:lang w:val="en-ZA"/>
        </w:rPr>
        <w:t>.m</w:t>
      </w:r>
      <w:r>
        <w:rPr>
          <w:iCs/>
          <w:vertAlign w:val="superscript"/>
          <w:lang w:val="en-ZA"/>
        </w:rPr>
        <w:t>-</w:t>
      </w:r>
      <w:r w:rsidRPr="00AA4BCD">
        <w:rPr>
          <w:iCs/>
          <w:vertAlign w:val="superscript"/>
          <w:lang w:val="en-ZA"/>
        </w:rPr>
        <w:t>2</w:t>
      </w:r>
      <w:r w:rsidRPr="00193E49">
        <w:rPr>
          <w:iCs/>
          <w:lang w:val="en-ZA"/>
        </w:rPr>
        <w:t xml:space="preserve"> and 75 kW</w:t>
      </w:r>
      <w:r>
        <w:rPr>
          <w:iCs/>
          <w:lang w:val="en-ZA"/>
        </w:rPr>
        <w:t>.m</w:t>
      </w:r>
      <w:r>
        <w:rPr>
          <w:iCs/>
          <w:vertAlign w:val="superscript"/>
          <w:lang w:val="en-ZA"/>
        </w:rPr>
        <w:t>-</w:t>
      </w:r>
      <w:r w:rsidRPr="00AA4BCD">
        <w:rPr>
          <w:iCs/>
          <w:vertAlign w:val="superscript"/>
          <w:lang w:val="en-ZA"/>
        </w:rPr>
        <w:t>2</w:t>
      </w:r>
      <w:r w:rsidRPr="00193E49">
        <w:rPr>
          <w:iCs/>
          <w:lang w:val="en-ZA"/>
        </w:rPr>
        <w:t>, were used for taking measurements. For each sample type, experiment</w:t>
      </w:r>
      <w:r>
        <w:rPr>
          <w:iCs/>
          <w:lang w:val="en-ZA"/>
        </w:rPr>
        <w:t>al measurement</w:t>
      </w:r>
      <w:r w:rsidRPr="00193E49">
        <w:rPr>
          <w:iCs/>
          <w:lang w:val="en-ZA"/>
        </w:rPr>
        <w:t>s were repeated three times at 50 kW</w:t>
      </w:r>
      <w:r>
        <w:rPr>
          <w:iCs/>
          <w:lang w:val="en-ZA"/>
        </w:rPr>
        <w:t>.m</w:t>
      </w:r>
      <w:r>
        <w:rPr>
          <w:iCs/>
          <w:vertAlign w:val="superscript"/>
          <w:lang w:val="en-ZA"/>
        </w:rPr>
        <w:t>-</w:t>
      </w:r>
      <w:r w:rsidRPr="00282596">
        <w:rPr>
          <w:iCs/>
          <w:vertAlign w:val="superscript"/>
          <w:lang w:val="en-ZA"/>
        </w:rPr>
        <w:t>2</w:t>
      </w:r>
      <w:r w:rsidRPr="00193E49">
        <w:rPr>
          <w:iCs/>
          <w:lang w:val="en-ZA"/>
        </w:rPr>
        <w:t xml:space="preserve"> heat flux and twice at 75 kW</w:t>
      </w:r>
      <w:r>
        <w:rPr>
          <w:iCs/>
          <w:lang w:val="en-ZA"/>
        </w:rPr>
        <w:t>.m</w:t>
      </w:r>
      <w:r>
        <w:rPr>
          <w:iCs/>
          <w:vertAlign w:val="superscript"/>
          <w:lang w:val="en-ZA"/>
        </w:rPr>
        <w:t>-</w:t>
      </w:r>
      <w:r w:rsidRPr="00AA4BCD">
        <w:rPr>
          <w:iCs/>
          <w:vertAlign w:val="superscript"/>
          <w:lang w:val="en-ZA"/>
        </w:rPr>
        <w:t>2</w:t>
      </w:r>
      <w:r w:rsidRPr="00193E49">
        <w:rPr>
          <w:iCs/>
          <w:lang w:val="en-ZA"/>
        </w:rPr>
        <w:t xml:space="preserve"> heat flux</w:t>
      </w:r>
      <w:r>
        <w:rPr>
          <w:iCs/>
          <w:lang w:val="en-ZA"/>
        </w:rPr>
        <w:t>.</w:t>
      </w:r>
    </w:p>
    <w:p w:rsidR="00B11CA3" w:rsidRDefault="00B11CA3" w:rsidP="00B11CA3">
      <w:pPr>
        <w:pStyle w:val="Section"/>
      </w:pPr>
      <w:r>
        <w:t>Results and discussion</w:t>
      </w:r>
    </w:p>
    <w:p w:rsidR="00B11CA3" w:rsidRDefault="00B11CA3" w:rsidP="00B11CA3">
      <w:pPr>
        <w:pStyle w:val="BodyChar"/>
        <w:rPr>
          <w:lang w:val="en-ZA"/>
        </w:rPr>
      </w:pPr>
      <w:r>
        <w:t xml:space="preserve">Figure 1 represents a typical </w:t>
      </w:r>
      <w:r>
        <w:t>HRR profile of one of the samples</w:t>
      </w:r>
      <w:r>
        <w:t xml:space="preserve">. </w:t>
      </w:r>
      <w:r>
        <w:t xml:space="preserve">The peak heat release rate (PHRR) and the corresponding time value give the so-called Fire Growth Rate (FIGRA). </w:t>
      </w:r>
      <w:r>
        <w:rPr>
          <w:lang w:val="en-ZA"/>
        </w:rPr>
        <w:t>Low FIGRA values as in Table1 are attributed to the efficacy of flame retardants used in the garments.</w:t>
      </w:r>
    </w:p>
    <w:tbl>
      <w:tblPr>
        <w:tblW w:w="0" w:type="auto"/>
        <w:tblInd w:w="421" w:type="dxa"/>
        <w:tblBorders>
          <w:top w:val="single" w:sz="4" w:space="0" w:color="auto"/>
        </w:tblBorders>
        <w:tblLook w:val="0000" w:firstRow="0" w:lastRow="0" w:firstColumn="0" w:lastColumn="0" w:noHBand="0" w:noVBand="0"/>
      </w:tblPr>
      <w:tblGrid>
        <w:gridCol w:w="6547"/>
      </w:tblGrid>
      <w:tr w:rsidR="00B11CA3" w:rsidRPr="00833344" w:rsidTr="006D438B">
        <w:trPr>
          <w:trHeight w:val="2280"/>
        </w:trPr>
        <w:tc>
          <w:tcPr>
            <w:tcW w:w="6543" w:type="dxa"/>
            <w:tcBorders>
              <w:top w:val="nil"/>
              <w:bottom w:val="nil"/>
            </w:tcBorders>
          </w:tcPr>
          <w:tbl>
            <w:tblPr>
              <w:tblpPr w:leftFromText="180" w:rightFromText="180" w:vertAnchor="text" w:horzAnchor="margin" w:tblpXSpec="center" w:tblpY="65"/>
              <w:tblW w:w="6283"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21"/>
            </w:tblGrid>
            <w:tr w:rsidR="00B11CA3" w:rsidTr="006D438B">
              <w:trPr>
                <w:trHeight w:val="274"/>
              </w:trPr>
              <w:tc>
                <w:tcPr>
                  <w:tcW w:w="6283" w:type="dxa"/>
                  <w:shd w:val="clear" w:color="auto" w:fill="auto"/>
                </w:tcPr>
                <w:p w:rsidR="00B11CA3" w:rsidRDefault="00B11CA3" w:rsidP="006D438B">
                  <w:pPr>
                    <w:pStyle w:val="BodyChar"/>
                  </w:pPr>
                  <w:r w:rsidRPr="00B11CA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305pt;height:214.5pt;visibility:visible;mso-wrap-style:square">
                        <v:imagedata r:id="rId7" o:title="" croptop="8248f" cropbottom="2130f" cropright="6291f" grayscale="t" bilevel="t"/>
                        <o:lock v:ext="edit" aspectratio="f"/>
                      </v:shape>
                    </w:pict>
                  </w:r>
                </w:p>
              </w:tc>
            </w:tr>
            <w:tr w:rsidR="00B11CA3" w:rsidTr="006D438B">
              <w:trPr>
                <w:trHeight w:val="274"/>
              </w:trPr>
              <w:tc>
                <w:tcPr>
                  <w:tcW w:w="6283" w:type="dxa"/>
                  <w:shd w:val="clear" w:color="auto" w:fill="auto"/>
                </w:tcPr>
                <w:p w:rsidR="00B11CA3" w:rsidRPr="00762F18" w:rsidRDefault="00B11CA3" w:rsidP="006D438B">
                  <w:pPr>
                    <w:pStyle w:val="FigureCaption"/>
                    <w:spacing w:before="120"/>
                    <w:ind w:left="0"/>
                    <w:jc w:val="both"/>
                    <w:rPr>
                      <w:lang w:val="en-ZA"/>
                    </w:rPr>
                  </w:pPr>
                  <w:r>
                    <w:rPr>
                      <w:b/>
                    </w:rPr>
                    <w:t>Figure 1</w:t>
                  </w:r>
                  <w:r w:rsidRPr="00CD49D2">
                    <w:rPr>
                      <w:b/>
                    </w:rPr>
                    <w:t xml:space="preserve">. </w:t>
                  </w:r>
                  <w:r w:rsidRPr="00943BF9">
                    <w:rPr>
                      <w:lang w:val="en-ZA"/>
                    </w:rPr>
                    <w:t>Typical Heat Release Rate profile</w:t>
                  </w:r>
                </w:p>
              </w:tc>
            </w:tr>
          </w:tbl>
          <w:p w:rsidR="00B11CA3" w:rsidRPr="00833344" w:rsidRDefault="00B11CA3" w:rsidP="006D438B">
            <w:pPr>
              <w:pStyle w:val="BodyChar"/>
              <w:rPr>
                <w:iCs/>
                <w:vertAlign w:val="subscript"/>
                <w:lang w:val="en-ZA"/>
              </w:rPr>
            </w:pPr>
          </w:p>
        </w:tc>
      </w:tr>
    </w:tbl>
    <w:p w:rsidR="00B11CA3" w:rsidRDefault="00B11CA3" w:rsidP="00B11CA3">
      <w:pPr>
        <w:pStyle w:val="BodyChar"/>
      </w:pPr>
    </w:p>
    <w:p w:rsidR="00B11CA3" w:rsidRDefault="00B11CA3" w:rsidP="00B11CA3">
      <w:pPr>
        <w:pStyle w:val="BodyChar"/>
      </w:pPr>
      <w:r>
        <w:t>Figure 2 shows a typical smoke production rate profile of a sample. The peak smoke production rate (PSPR) and the time it takes to reach gives the smoke growth rate index (SMOGRA).</w:t>
      </w:r>
    </w:p>
    <w:p w:rsidR="00B11CA3" w:rsidRDefault="00B11CA3" w:rsidP="00B11CA3">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771"/>
      </w:tblGrid>
      <w:tr w:rsidR="00B11CA3" w:rsidTr="006D438B">
        <w:trPr>
          <w:trHeight w:val="4523"/>
          <w:jc w:val="center"/>
        </w:trPr>
        <w:tc>
          <w:tcPr>
            <w:tcW w:w="6645" w:type="dxa"/>
            <w:shd w:val="clear" w:color="auto" w:fill="auto"/>
          </w:tcPr>
          <w:p w:rsidR="00B11CA3" w:rsidRDefault="00B11CA3" w:rsidP="006D438B">
            <w:pPr>
              <w:pStyle w:val="BodyChar"/>
            </w:pPr>
            <w:r w:rsidRPr="00B11CA3">
              <w:rPr>
                <w:noProof/>
                <w:lang w:val="en-US"/>
              </w:rPr>
              <w:pict>
                <v:shape id="Picture 4" o:spid="_x0000_i1028" type="#_x0000_t75" style="width:327.5pt;height:238.5pt;visibility:visible;mso-wrap-style:square">
                  <v:imagedata r:id="rId8" o:title="" croptop="8436f" cropbottom="1754f" cropright="6742f" grayscale="t" bilevel="t"/>
                  <o:lock v:ext="edit" aspectratio="f"/>
                </v:shape>
              </w:pict>
            </w:r>
          </w:p>
        </w:tc>
      </w:tr>
      <w:tr w:rsidR="00B11CA3" w:rsidTr="006D438B">
        <w:trPr>
          <w:trHeight w:val="480"/>
          <w:jc w:val="center"/>
        </w:trPr>
        <w:tc>
          <w:tcPr>
            <w:tcW w:w="6645" w:type="dxa"/>
            <w:shd w:val="clear" w:color="auto" w:fill="auto"/>
          </w:tcPr>
          <w:p w:rsidR="00B11CA3" w:rsidRPr="006602FA" w:rsidRDefault="00B11CA3" w:rsidP="006D438B">
            <w:pPr>
              <w:pStyle w:val="FigureCaption"/>
              <w:spacing w:before="120"/>
              <w:jc w:val="both"/>
              <w:rPr>
                <w:lang w:val="en-ZA"/>
              </w:rPr>
            </w:pPr>
            <w:r>
              <w:rPr>
                <w:b/>
              </w:rPr>
              <w:lastRenderedPageBreak/>
              <w:t>Figure 2</w:t>
            </w:r>
            <w:r w:rsidRPr="00CD49D2">
              <w:rPr>
                <w:b/>
              </w:rPr>
              <w:t xml:space="preserve">. </w:t>
            </w:r>
            <w:r w:rsidRPr="008160A8">
              <w:rPr>
                <w:lang w:val="en-ZA"/>
              </w:rPr>
              <w:t>Typical Smoke Production Rate profile</w:t>
            </w:r>
          </w:p>
        </w:tc>
      </w:tr>
    </w:tbl>
    <w:p w:rsidR="00B11CA3" w:rsidRDefault="00B11CA3" w:rsidP="00B11CA3">
      <w:pPr>
        <w:pStyle w:val="BodyChar"/>
      </w:pPr>
    </w:p>
    <w:p w:rsidR="00B11CA3" w:rsidRDefault="00B11CA3" w:rsidP="00B11CA3">
      <w:pPr>
        <w:pStyle w:val="BodyChar"/>
      </w:pPr>
      <w:r>
        <w:t>Figure 3 shows the HRR versus time profiles of all the eight different PPE samples when subjected to external heat flux of 50 kWm</w:t>
      </w:r>
      <w:r w:rsidRPr="00680D9A">
        <w:rPr>
          <w:vertAlign w:val="superscript"/>
        </w:rPr>
        <w:t>-2</w:t>
      </w:r>
      <w:r>
        <w:t xml:space="preserve">. The old and used PPE (H and G but not F) have higher PHRR values as compared to the new ones. This evidence could be attributed to the weakening effect of the fire retardant chemical due to age, fabric washing procedure as well as previous heat exposure in firefighting activities. Time to ignition (TTI) for ‘used’ samples G and H could be seen as short as compared to the new PPE such as A and E. </w:t>
      </w:r>
    </w:p>
    <w:p w:rsidR="00B11CA3" w:rsidRDefault="00B11CA3" w:rsidP="00B11CA3">
      <w:pPr>
        <w:pStyle w:val="BodyChar"/>
      </w:pPr>
    </w:p>
    <w:p w:rsidR="00B11CA3" w:rsidRDefault="00B11CA3" w:rsidP="00B11CA3">
      <w:pPr>
        <w:pStyle w:val="BodyChar"/>
      </w:pPr>
    </w:p>
    <w:p w:rsidR="00B11CA3" w:rsidRDefault="00B11CA3" w:rsidP="00B11CA3">
      <w:pPr>
        <w:pStyle w:val="BodyChar"/>
      </w:pPr>
    </w:p>
    <w:tbl>
      <w:tblPr>
        <w:tblpPr w:leftFromText="180" w:rightFromText="180" w:vertAnchor="text" w:horzAnchor="margin" w:tblpXSpec="center" w:tblpY="-676"/>
        <w:tblW w:w="0" w:type="auto"/>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7356"/>
      </w:tblGrid>
      <w:tr w:rsidR="00B11CA3" w:rsidTr="006D438B">
        <w:trPr>
          <w:trHeight w:val="4523"/>
        </w:trPr>
        <w:tc>
          <w:tcPr>
            <w:tcW w:w="7356" w:type="dxa"/>
            <w:shd w:val="clear" w:color="auto" w:fill="auto"/>
          </w:tcPr>
          <w:p w:rsidR="00B11CA3" w:rsidRDefault="00B11CA3" w:rsidP="006D438B">
            <w:pPr>
              <w:pStyle w:val="BodyChar"/>
            </w:pPr>
            <w:r w:rsidRPr="00B11CA3">
              <w:rPr>
                <w:noProof/>
                <w:lang w:val="en-US"/>
              </w:rPr>
              <w:pict>
                <v:shape id="Picture 1" o:spid="_x0000_i1029" type="#_x0000_t75" style="width:314.5pt;height:234.5pt;visibility:visible;mso-wrap-style:square">
                  <v:imagedata r:id="rId9" o:title="" croptop="8124f" cropbottom="3248f" cropright="7521f"/>
                </v:shape>
              </w:pict>
            </w:r>
          </w:p>
        </w:tc>
      </w:tr>
      <w:tr w:rsidR="00B11CA3" w:rsidTr="006D438B">
        <w:trPr>
          <w:trHeight w:val="480"/>
        </w:trPr>
        <w:tc>
          <w:tcPr>
            <w:tcW w:w="7356" w:type="dxa"/>
            <w:shd w:val="clear" w:color="auto" w:fill="auto"/>
          </w:tcPr>
          <w:p w:rsidR="00B11CA3" w:rsidRPr="006602FA" w:rsidRDefault="00B11CA3" w:rsidP="006D438B">
            <w:pPr>
              <w:pStyle w:val="FigureCaption"/>
              <w:spacing w:before="120"/>
              <w:jc w:val="both"/>
              <w:rPr>
                <w:lang w:val="en-ZA"/>
              </w:rPr>
            </w:pPr>
            <w:r>
              <w:rPr>
                <w:b/>
              </w:rPr>
              <w:t>Figure 3</w:t>
            </w:r>
            <w:r w:rsidRPr="00CD49D2">
              <w:rPr>
                <w:b/>
              </w:rPr>
              <w:t xml:space="preserve">. </w:t>
            </w:r>
            <w:r>
              <w:rPr>
                <w:lang w:val="en-ZA"/>
              </w:rPr>
              <w:t>Heat Release Rate profiles of samples when subjected to 50 kWm</w:t>
            </w:r>
            <w:r w:rsidRPr="00680D9A">
              <w:rPr>
                <w:vertAlign w:val="superscript"/>
                <w:lang w:val="en-ZA"/>
              </w:rPr>
              <w:t>-2</w:t>
            </w:r>
            <w:r>
              <w:rPr>
                <w:lang w:val="en-ZA"/>
              </w:rPr>
              <w:t xml:space="preserve"> </w:t>
            </w:r>
          </w:p>
        </w:tc>
      </w:tr>
    </w:tbl>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pPr>
    </w:p>
    <w:p w:rsidR="00B11CA3" w:rsidRDefault="00B11CA3" w:rsidP="00B11CA3">
      <w:pPr>
        <w:pStyle w:val="BodyChar"/>
        <w:tabs>
          <w:tab w:val="left" w:pos="1134"/>
        </w:tabs>
        <w:ind w:firstLine="270"/>
        <w:rPr>
          <w:lang w:val="en-US"/>
        </w:rPr>
      </w:pPr>
      <w:r w:rsidRPr="00122BF3">
        <w:rPr>
          <w:lang w:val="en-ZA"/>
        </w:rPr>
        <w:t xml:space="preserve">The XRF results in this study presented a direct link between the bromine content and the middle layer of the firefighter protective clothing. The outer shell which is constructed to be tough and durable in order to resist abrasions and cuts provided the least bromine content in most samples. </w:t>
      </w:r>
      <w:r>
        <w:rPr>
          <w:lang w:val="en-ZA"/>
        </w:rPr>
        <w:t>Surprisingly, t</w:t>
      </w:r>
      <w:r w:rsidRPr="00122BF3">
        <w:rPr>
          <w:lang w:val="en-ZA"/>
        </w:rPr>
        <w:t xml:space="preserve">he only outer shell that contained high bromine content was from the </w:t>
      </w:r>
      <w:r>
        <w:rPr>
          <w:lang w:val="en-ZA"/>
        </w:rPr>
        <w:t>used protective garment</w:t>
      </w:r>
      <w:r w:rsidRPr="00122BF3">
        <w:rPr>
          <w:lang w:val="en-ZA"/>
        </w:rPr>
        <w:t xml:space="preserve">. The results depicted a trend of high bromine content in the middle layer, thermal liner, which is designed to offer superior insulation against </w:t>
      </w:r>
      <w:r>
        <w:rPr>
          <w:lang w:val="en-ZA"/>
        </w:rPr>
        <w:t xml:space="preserve">heat. </w:t>
      </w:r>
      <w:r w:rsidRPr="00122BF3">
        <w:rPr>
          <w:lang w:val="en-ZA"/>
        </w:rPr>
        <w:t>Low bromine content was recorded on the inner layer which serves to provide moisture barrier.</w:t>
      </w:r>
      <w:r>
        <w:rPr>
          <w:lang w:val="en-ZA"/>
        </w:rPr>
        <w:t xml:space="preserve"> </w:t>
      </w:r>
      <w:r w:rsidRPr="00122BF3">
        <w:rPr>
          <w:lang w:val="en-ZA"/>
        </w:rPr>
        <w:t>The US Environmental Protection Agency</w:t>
      </w:r>
      <w:r>
        <w:rPr>
          <w:lang w:val="en-ZA"/>
        </w:rPr>
        <w:t xml:space="preserve"> (US EPA) prescribes a maximum</w:t>
      </w:r>
      <w:r w:rsidRPr="00122BF3">
        <w:rPr>
          <w:lang w:val="en-ZA"/>
        </w:rPr>
        <w:t xml:space="preserve"> of 1000</w:t>
      </w:r>
      <w:r>
        <w:rPr>
          <w:lang w:val="en-ZA"/>
        </w:rPr>
        <w:t xml:space="preserve"> </w:t>
      </w:r>
      <w:r w:rsidRPr="007B0850">
        <w:rPr>
          <w:i/>
          <w:lang w:val="en-ZA"/>
        </w:rPr>
        <w:t>ppm</w:t>
      </w:r>
      <w:r w:rsidRPr="00122BF3">
        <w:rPr>
          <w:lang w:val="en-ZA"/>
        </w:rPr>
        <w:t xml:space="preserve"> for PBDEs that can be contained in a material</w:t>
      </w:r>
      <w:r>
        <w:rPr>
          <w:lang w:val="en-ZA"/>
        </w:rPr>
        <w:t xml:space="preserve"> </w:t>
      </w:r>
      <w:r w:rsidRPr="005A37E4">
        <w:t>[</w:t>
      </w:r>
      <w:r>
        <w:t>9]</w:t>
      </w:r>
      <w:r>
        <w:rPr>
          <w:lang w:val="en-US"/>
        </w:rPr>
        <w:t xml:space="preserve">. </w:t>
      </w:r>
    </w:p>
    <w:p w:rsidR="00B11CA3" w:rsidRPr="00015936" w:rsidRDefault="00B11CA3" w:rsidP="00B11CA3">
      <w:pPr>
        <w:pStyle w:val="BodyChar"/>
        <w:ind w:firstLine="270"/>
        <w:rPr>
          <w:iCs/>
          <w:lang w:val="en-ZA"/>
        </w:rPr>
      </w:pPr>
      <w:r>
        <w:rPr>
          <w:lang w:val="en-ZA"/>
        </w:rPr>
        <w:t>The summary of XRF</w:t>
      </w:r>
      <w:r w:rsidRPr="00122BF3">
        <w:rPr>
          <w:lang w:val="en-ZA"/>
        </w:rPr>
        <w:t xml:space="preserve"> </w:t>
      </w:r>
      <w:r>
        <w:rPr>
          <w:lang w:val="en-ZA"/>
        </w:rPr>
        <w:t xml:space="preserve">measured bromine content together with the cone calorimeter results of the eight bunker gear samples are shown in Table 1. Samples A, B, C, D and E are new garments, while F, G and H are old/used garments. </w:t>
      </w:r>
      <w:r w:rsidRPr="00122BF3">
        <w:rPr>
          <w:lang w:val="en-ZA"/>
        </w:rPr>
        <w:t>The results show that 63% of the samples have bromine content in excess of 1000</w:t>
      </w:r>
      <w:r>
        <w:rPr>
          <w:lang w:val="en-ZA"/>
        </w:rPr>
        <w:t xml:space="preserve"> </w:t>
      </w:r>
      <w:r w:rsidRPr="007B0850">
        <w:rPr>
          <w:i/>
          <w:lang w:val="en-ZA"/>
        </w:rPr>
        <w:t>ppm</w:t>
      </w:r>
      <w:r w:rsidRPr="00122BF3">
        <w:rPr>
          <w:lang w:val="en-ZA"/>
        </w:rPr>
        <w:t xml:space="preserve">. </w:t>
      </w:r>
      <w:r>
        <w:rPr>
          <w:iCs/>
          <w:lang w:val="en-ZA"/>
        </w:rPr>
        <w:t xml:space="preserve">Among the new samples, measured BFR values for A, B and E are way above the maximum (1000 </w:t>
      </w:r>
      <w:r w:rsidRPr="004F5269">
        <w:rPr>
          <w:i/>
          <w:iCs/>
          <w:lang w:val="en-ZA"/>
        </w:rPr>
        <w:t>ppm</w:t>
      </w:r>
      <w:r>
        <w:rPr>
          <w:iCs/>
          <w:lang w:val="en-ZA"/>
        </w:rPr>
        <w:t xml:space="preserve">) permissible by standards. Two of the three used ones have well above maximum BRF values. The expected general inverse relationship between the BFR content and the PHRR, high of the latter should give low of the former, was not seen in the samples. The possible reason could be the inclusion of other retardants that lie outside the BRF focus of the present study. However, sample </w:t>
      </w:r>
      <w:r w:rsidRPr="004F5269">
        <w:rPr>
          <w:b/>
          <w:iCs/>
          <w:lang w:val="en-ZA"/>
        </w:rPr>
        <w:t xml:space="preserve">A </w:t>
      </w:r>
      <w:r w:rsidRPr="004F5269">
        <w:rPr>
          <w:iCs/>
          <w:lang w:val="en-ZA"/>
        </w:rPr>
        <w:t>(new)</w:t>
      </w:r>
      <w:r>
        <w:rPr>
          <w:b/>
          <w:iCs/>
          <w:lang w:val="en-ZA"/>
        </w:rPr>
        <w:t xml:space="preserve"> </w:t>
      </w:r>
      <w:r w:rsidRPr="004F5269">
        <w:rPr>
          <w:iCs/>
          <w:lang w:val="en-ZA"/>
        </w:rPr>
        <w:t>took longest time to ignite</w:t>
      </w:r>
      <w:r>
        <w:rPr>
          <w:b/>
          <w:iCs/>
          <w:lang w:val="en-ZA"/>
        </w:rPr>
        <w:t xml:space="preserve"> </w:t>
      </w:r>
      <w:r>
        <w:rPr>
          <w:iCs/>
          <w:lang w:val="en-ZA"/>
        </w:rPr>
        <w:t xml:space="preserve">(TTI = 28 s); had the highest BRF measured value (3457 </w:t>
      </w:r>
      <w:r w:rsidRPr="004F5269">
        <w:rPr>
          <w:i/>
          <w:iCs/>
          <w:lang w:val="en-ZA"/>
        </w:rPr>
        <w:t>ppm</w:t>
      </w:r>
      <w:r>
        <w:rPr>
          <w:iCs/>
          <w:lang w:val="en-ZA"/>
        </w:rPr>
        <w:t xml:space="preserve">); showed the lowest PHRR of 63.6 </w:t>
      </w:r>
      <w:r w:rsidRPr="00193E49">
        <w:rPr>
          <w:iCs/>
          <w:lang w:val="en-ZA"/>
        </w:rPr>
        <w:t>kW</w:t>
      </w:r>
      <w:r>
        <w:rPr>
          <w:iCs/>
          <w:lang w:val="en-ZA"/>
        </w:rPr>
        <w:t>.m</w:t>
      </w:r>
      <w:r>
        <w:rPr>
          <w:iCs/>
          <w:vertAlign w:val="superscript"/>
          <w:lang w:val="en-ZA"/>
        </w:rPr>
        <w:t>-</w:t>
      </w:r>
      <w:r w:rsidRPr="00AA4BCD">
        <w:rPr>
          <w:iCs/>
          <w:vertAlign w:val="superscript"/>
          <w:lang w:val="en-ZA"/>
        </w:rPr>
        <w:t>2</w:t>
      </w:r>
      <w:r>
        <w:rPr>
          <w:iCs/>
          <w:vertAlign w:val="superscript"/>
          <w:lang w:val="en-ZA"/>
        </w:rPr>
        <w:t xml:space="preserve"> </w:t>
      </w:r>
      <w:r>
        <w:rPr>
          <w:iCs/>
          <w:lang w:val="en-ZA"/>
        </w:rPr>
        <w:t xml:space="preserve">whilst sample </w:t>
      </w:r>
      <w:r w:rsidRPr="004F5269">
        <w:rPr>
          <w:b/>
          <w:iCs/>
          <w:lang w:val="en-ZA"/>
        </w:rPr>
        <w:t>G</w:t>
      </w:r>
      <w:r>
        <w:rPr>
          <w:iCs/>
          <w:lang w:val="en-ZA"/>
        </w:rPr>
        <w:t xml:space="preserve"> (used) with the lowest BRF value of 445 </w:t>
      </w:r>
      <w:r w:rsidRPr="004F5269">
        <w:rPr>
          <w:i/>
          <w:iCs/>
          <w:lang w:val="en-ZA"/>
        </w:rPr>
        <w:t>ppm</w:t>
      </w:r>
      <w:r>
        <w:rPr>
          <w:iCs/>
          <w:lang w:val="en-ZA"/>
        </w:rPr>
        <w:t xml:space="preserve">, showed the highest PHRR of 166.2 </w:t>
      </w:r>
      <w:r w:rsidRPr="00193E49">
        <w:rPr>
          <w:iCs/>
          <w:lang w:val="en-ZA"/>
        </w:rPr>
        <w:t>kW</w:t>
      </w:r>
      <w:r>
        <w:rPr>
          <w:iCs/>
          <w:lang w:val="en-ZA"/>
        </w:rPr>
        <w:t>.m</w:t>
      </w:r>
      <w:r>
        <w:rPr>
          <w:iCs/>
          <w:vertAlign w:val="superscript"/>
          <w:lang w:val="en-ZA"/>
        </w:rPr>
        <w:t>-</w:t>
      </w:r>
      <w:r w:rsidRPr="00AA4BCD">
        <w:rPr>
          <w:iCs/>
          <w:vertAlign w:val="superscript"/>
          <w:lang w:val="en-ZA"/>
        </w:rPr>
        <w:t>2</w:t>
      </w:r>
      <w:r>
        <w:rPr>
          <w:iCs/>
          <w:lang w:val="en-ZA"/>
        </w:rPr>
        <w:t xml:space="preserve">. The FIGRA value of sample </w:t>
      </w:r>
      <w:r w:rsidRPr="004F5269">
        <w:rPr>
          <w:b/>
          <w:iCs/>
          <w:lang w:val="en-ZA"/>
        </w:rPr>
        <w:t>A</w:t>
      </w:r>
      <w:r>
        <w:rPr>
          <w:iCs/>
          <w:lang w:val="en-ZA"/>
        </w:rPr>
        <w:t xml:space="preserve">, as expected, is relatively low (1.7 </w:t>
      </w:r>
      <w:r w:rsidRPr="00C166A0">
        <w:t>kW.</w:t>
      </w:r>
      <w:r>
        <w:rPr>
          <w:iCs/>
          <w:lang w:val="en-ZA"/>
        </w:rPr>
        <w:t xml:space="preserve"> m</w:t>
      </w:r>
      <w:r>
        <w:rPr>
          <w:iCs/>
          <w:vertAlign w:val="superscript"/>
          <w:lang w:val="en-ZA"/>
        </w:rPr>
        <w:t>-</w:t>
      </w:r>
      <w:r w:rsidRPr="00AA4BCD">
        <w:rPr>
          <w:iCs/>
          <w:vertAlign w:val="superscript"/>
          <w:lang w:val="en-ZA"/>
        </w:rPr>
        <w:t>2</w:t>
      </w:r>
      <w:r>
        <w:rPr>
          <w:iCs/>
          <w:lang w:val="en-ZA"/>
        </w:rPr>
        <w:t>.</w:t>
      </w:r>
      <w:r>
        <w:rPr>
          <w:iCs/>
          <w:vertAlign w:val="superscript"/>
          <w:lang w:val="en-ZA"/>
        </w:rPr>
        <w:t xml:space="preserve"> </w:t>
      </w:r>
      <w:r w:rsidRPr="00C166A0">
        <w:t>s</w:t>
      </w:r>
      <w:r w:rsidRPr="004C042C">
        <w:rPr>
          <w:vertAlign w:val="superscript"/>
        </w:rPr>
        <w:t>-1</w:t>
      </w:r>
      <w:r>
        <w:t>)</w:t>
      </w:r>
      <w:r>
        <w:rPr>
          <w:iCs/>
          <w:lang w:val="en-ZA"/>
        </w:rPr>
        <w:t xml:space="preserve"> for the 50 </w:t>
      </w:r>
      <w:r w:rsidRPr="00193E49">
        <w:rPr>
          <w:iCs/>
          <w:lang w:val="en-ZA"/>
        </w:rPr>
        <w:t>kW</w:t>
      </w:r>
      <w:r>
        <w:rPr>
          <w:iCs/>
          <w:lang w:val="en-ZA"/>
        </w:rPr>
        <w:t>.m</w:t>
      </w:r>
      <w:r>
        <w:rPr>
          <w:iCs/>
          <w:vertAlign w:val="superscript"/>
          <w:lang w:val="en-ZA"/>
        </w:rPr>
        <w:t>-</w:t>
      </w:r>
      <w:r w:rsidRPr="00AA4BCD">
        <w:rPr>
          <w:iCs/>
          <w:vertAlign w:val="superscript"/>
          <w:lang w:val="en-ZA"/>
        </w:rPr>
        <w:t>2</w:t>
      </w:r>
      <w:r>
        <w:rPr>
          <w:iCs/>
          <w:lang w:val="en-ZA"/>
        </w:rPr>
        <w:t xml:space="preserve"> external irradiation and that of </w:t>
      </w:r>
      <w:r w:rsidRPr="004F5269">
        <w:rPr>
          <w:b/>
          <w:iCs/>
          <w:lang w:val="en-ZA"/>
        </w:rPr>
        <w:t xml:space="preserve">G </w:t>
      </w:r>
      <w:r>
        <w:rPr>
          <w:iCs/>
          <w:lang w:val="en-ZA"/>
        </w:rPr>
        <w:t xml:space="preserve">very </w:t>
      </w:r>
      <w:r>
        <w:rPr>
          <w:iCs/>
          <w:lang w:val="en-ZA"/>
        </w:rPr>
        <w:lastRenderedPageBreak/>
        <w:t xml:space="preserve">high (3.5 </w:t>
      </w:r>
      <w:r w:rsidRPr="00C166A0">
        <w:t>kW.</w:t>
      </w:r>
      <w:r>
        <w:rPr>
          <w:iCs/>
          <w:lang w:val="en-ZA"/>
        </w:rPr>
        <w:t xml:space="preserve"> m</w:t>
      </w:r>
      <w:r>
        <w:rPr>
          <w:iCs/>
          <w:vertAlign w:val="superscript"/>
          <w:lang w:val="en-ZA"/>
        </w:rPr>
        <w:t>-</w:t>
      </w:r>
      <w:r w:rsidRPr="00AA4BCD">
        <w:rPr>
          <w:iCs/>
          <w:vertAlign w:val="superscript"/>
          <w:lang w:val="en-ZA"/>
        </w:rPr>
        <w:t>2</w:t>
      </w:r>
      <w:r>
        <w:rPr>
          <w:iCs/>
          <w:lang w:val="en-ZA"/>
        </w:rPr>
        <w:t>.</w:t>
      </w:r>
      <w:r>
        <w:rPr>
          <w:iCs/>
          <w:vertAlign w:val="superscript"/>
          <w:lang w:val="en-ZA"/>
        </w:rPr>
        <w:t xml:space="preserve"> </w:t>
      </w:r>
      <w:r w:rsidRPr="00C166A0">
        <w:t>s</w:t>
      </w:r>
      <w:r w:rsidRPr="004C042C">
        <w:rPr>
          <w:vertAlign w:val="superscript"/>
        </w:rPr>
        <w:t>-1</w:t>
      </w:r>
      <w:r>
        <w:t>) with TTI only 15 s. Smoke growth rate index (SMOGRA) seems to be associated to samples with higher BFR.</w:t>
      </w:r>
    </w:p>
    <w:p w:rsidR="00E556C0" w:rsidRPr="00122BF3" w:rsidRDefault="00E556C0" w:rsidP="00E556C0">
      <w:pPr>
        <w:pStyle w:val="BodyChar"/>
        <w:rPr>
          <w:lang w:val="en-ZA"/>
        </w:rPr>
      </w:pPr>
    </w:p>
    <w:p w:rsidR="00E556C0" w:rsidRDefault="00E556C0" w:rsidP="00E556C0">
      <w:pPr>
        <w:pStyle w:val="BodyChar"/>
      </w:pPr>
    </w:p>
    <w:p w:rsidR="00E556C0" w:rsidRPr="00833344" w:rsidRDefault="00E556C0" w:rsidP="00E556C0">
      <w:pPr>
        <w:pStyle w:val="BodyChar"/>
        <w:jc w:val="center"/>
        <w:rPr>
          <w:iCs/>
          <w:lang w:val="en-ZA"/>
        </w:rPr>
      </w:pPr>
      <w:r w:rsidRPr="006E05E6">
        <w:rPr>
          <w:b/>
          <w:iCs/>
          <w:lang w:val="en-ZA"/>
        </w:rPr>
        <w:t>Table 1.</w:t>
      </w:r>
      <w:r w:rsidRPr="00833344">
        <w:rPr>
          <w:iCs/>
          <w:lang w:val="en-ZA"/>
        </w:rPr>
        <w:t xml:space="preserve"> </w:t>
      </w:r>
      <w:r>
        <w:rPr>
          <w:iCs/>
          <w:lang w:val="en-ZA"/>
        </w:rPr>
        <w:t>XRF and Cone Calorimeter results</w:t>
      </w:r>
    </w:p>
    <w:tbl>
      <w:tblPr>
        <w:tblW w:w="9711" w:type="dxa"/>
        <w:tblInd w:w="-176" w:type="dxa"/>
        <w:tblLayout w:type="fixed"/>
        <w:tblLook w:val="04A0" w:firstRow="1" w:lastRow="0" w:firstColumn="1" w:lastColumn="0" w:noHBand="0" w:noVBand="1"/>
      </w:tblPr>
      <w:tblGrid>
        <w:gridCol w:w="981"/>
        <w:gridCol w:w="810"/>
        <w:gridCol w:w="720"/>
        <w:gridCol w:w="900"/>
        <w:gridCol w:w="900"/>
        <w:gridCol w:w="900"/>
        <w:gridCol w:w="900"/>
        <w:gridCol w:w="900"/>
        <w:gridCol w:w="900"/>
        <w:gridCol w:w="900"/>
        <w:gridCol w:w="900"/>
      </w:tblGrid>
      <w:tr w:rsidR="00E556C0" w:rsidRPr="00803D1A" w:rsidTr="006D438B">
        <w:trPr>
          <w:trHeight w:val="196"/>
        </w:trPr>
        <w:tc>
          <w:tcPr>
            <w:tcW w:w="981" w:type="dxa"/>
            <w:vMerge w:val="restart"/>
            <w:tcBorders>
              <w:top w:val="single" w:sz="4" w:space="0" w:color="auto"/>
            </w:tcBorders>
          </w:tcPr>
          <w:p w:rsidR="00E556C0" w:rsidRPr="00803D1A" w:rsidRDefault="00E556C0" w:rsidP="006D438B">
            <w:pPr>
              <w:pStyle w:val="BodyChar"/>
              <w:ind w:left="-142" w:firstLine="142"/>
              <w:jc w:val="center"/>
              <w:rPr>
                <w:b/>
                <w:iCs/>
                <w:lang w:val="en-ZA"/>
              </w:rPr>
            </w:pPr>
            <w:r w:rsidRPr="00803D1A">
              <w:rPr>
                <w:b/>
                <w:iCs/>
                <w:lang w:val="en-ZA"/>
              </w:rPr>
              <w:t>Sample</w:t>
            </w:r>
          </w:p>
        </w:tc>
        <w:tc>
          <w:tcPr>
            <w:tcW w:w="810" w:type="dxa"/>
            <w:vMerge w:val="restart"/>
            <w:tcBorders>
              <w:top w:val="single" w:sz="4" w:space="0" w:color="auto"/>
            </w:tcBorders>
          </w:tcPr>
          <w:p w:rsidR="00E556C0" w:rsidRDefault="00E556C0" w:rsidP="006D438B">
            <w:pPr>
              <w:pStyle w:val="BodyChar"/>
              <w:jc w:val="center"/>
              <w:rPr>
                <w:b/>
                <w:iCs/>
                <w:lang w:val="en-ZA"/>
              </w:rPr>
            </w:pPr>
            <w:r w:rsidRPr="00803D1A">
              <w:rPr>
                <w:b/>
                <w:iCs/>
                <w:lang w:val="en-ZA"/>
              </w:rPr>
              <w:t>BFR</w:t>
            </w:r>
          </w:p>
          <w:p w:rsidR="00E556C0" w:rsidRPr="004F5269" w:rsidRDefault="00E556C0" w:rsidP="006D438B">
            <w:pPr>
              <w:pStyle w:val="BodyChar"/>
              <w:ind w:left="-142" w:firstLine="142"/>
              <w:jc w:val="center"/>
              <w:rPr>
                <w:iCs/>
                <w:lang w:val="en-ZA"/>
              </w:rPr>
            </w:pPr>
            <w:r w:rsidRPr="00803D1A">
              <w:rPr>
                <w:iCs/>
                <w:lang w:val="en-ZA"/>
              </w:rPr>
              <w:t>(ppm)</w:t>
            </w:r>
          </w:p>
        </w:tc>
        <w:tc>
          <w:tcPr>
            <w:tcW w:w="720" w:type="dxa"/>
            <w:vMerge w:val="restart"/>
            <w:tcBorders>
              <w:top w:val="single" w:sz="4" w:space="0" w:color="auto"/>
            </w:tcBorders>
            <w:shd w:val="clear" w:color="auto" w:fill="auto"/>
          </w:tcPr>
          <w:p w:rsidR="00E556C0" w:rsidRDefault="00E556C0" w:rsidP="006D438B">
            <w:pPr>
              <w:pStyle w:val="BodyChar"/>
              <w:ind w:left="-142" w:firstLine="142"/>
              <w:jc w:val="center"/>
              <w:rPr>
                <w:b/>
                <w:iCs/>
                <w:lang w:val="en-ZA"/>
              </w:rPr>
            </w:pPr>
            <w:r>
              <w:rPr>
                <w:b/>
                <w:iCs/>
                <w:lang w:val="en-ZA"/>
              </w:rPr>
              <w:t>TTI</w:t>
            </w:r>
          </w:p>
          <w:p w:rsidR="00E556C0" w:rsidRDefault="00E556C0" w:rsidP="006D438B">
            <w:pPr>
              <w:pStyle w:val="BodyChar"/>
              <w:jc w:val="center"/>
              <w:rPr>
                <w:iCs/>
                <w:lang w:val="en-ZA"/>
              </w:rPr>
            </w:pPr>
            <w:r>
              <w:rPr>
                <w:iCs/>
                <w:lang w:val="en-ZA"/>
              </w:rPr>
              <w:t>(s)</w:t>
            </w:r>
          </w:p>
          <w:p w:rsidR="00E556C0" w:rsidRDefault="00E556C0" w:rsidP="006D438B">
            <w:pPr>
              <w:pStyle w:val="BodyChar"/>
              <w:jc w:val="center"/>
              <w:rPr>
                <w:iCs/>
                <w:lang w:val="en-ZA"/>
              </w:rPr>
            </w:pPr>
            <w:r>
              <w:rPr>
                <w:iCs/>
                <w:lang w:val="en-ZA"/>
              </w:rPr>
              <w:t>-50</w:t>
            </w:r>
          </w:p>
          <w:p w:rsidR="00E556C0" w:rsidRPr="00803D1A" w:rsidRDefault="00E556C0" w:rsidP="006D438B">
            <w:pPr>
              <w:pStyle w:val="BodyChar"/>
              <w:jc w:val="center"/>
              <w:rPr>
                <w:b/>
                <w:iCs/>
                <w:lang w:val="en-ZA"/>
              </w:rPr>
            </w:pPr>
            <w:proofErr w:type="gramStart"/>
            <w:r>
              <w:rPr>
                <w:iCs/>
                <w:lang w:val="en-ZA"/>
              </w:rPr>
              <w:t>kW</w:t>
            </w:r>
            <w:proofErr w:type="gramEnd"/>
            <w:r>
              <w:rPr>
                <w:iCs/>
                <w:lang w:val="en-ZA"/>
              </w:rPr>
              <w:t>. m</w:t>
            </w:r>
            <w:r>
              <w:rPr>
                <w:iCs/>
                <w:vertAlign w:val="superscript"/>
                <w:lang w:val="en-ZA"/>
              </w:rPr>
              <w:t>-</w:t>
            </w:r>
            <w:r w:rsidRPr="00AA4BCD">
              <w:rPr>
                <w:iCs/>
                <w:vertAlign w:val="superscript"/>
                <w:lang w:val="en-ZA"/>
              </w:rPr>
              <w:t>2</w:t>
            </w:r>
          </w:p>
        </w:tc>
        <w:tc>
          <w:tcPr>
            <w:tcW w:w="1800" w:type="dxa"/>
            <w:gridSpan w:val="2"/>
            <w:tcBorders>
              <w:top w:val="single" w:sz="4" w:space="0" w:color="auto"/>
            </w:tcBorders>
            <w:shd w:val="clear" w:color="auto" w:fill="auto"/>
          </w:tcPr>
          <w:p w:rsidR="00E556C0" w:rsidRDefault="00E556C0" w:rsidP="006D438B">
            <w:pPr>
              <w:pStyle w:val="BodyChar"/>
              <w:jc w:val="center"/>
              <w:rPr>
                <w:b/>
                <w:iCs/>
                <w:lang w:val="en-ZA"/>
              </w:rPr>
            </w:pPr>
            <w:r w:rsidRPr="00803D1A">
              <w:rPr>
                <w:b/>
                <w:iCs/>
                <w:lang w:val="en-ZA"/>
              </w:rPr>
              <w:t>PHRR</w:t>
            </w:r>
            <w:r>
              <w:rPr>
                <w:b/>
                <w:iCs/>
                <w:lang w:val="en-ZA"/>
              </w:rPr>
              <w:t xml:space="preserve"> </w:t>
            </w:r>
          </w:p>
          <w:p w:rsidR="00E556C0" w:rsidRPr="00D755E4" w:rsidRDefault="00E556C0" w:rsidP="006D438B">
            <w:pPr>
              <w:pStyle w:val="BodyChar"/>
              <w:jc w:val="center"/>
              <w:rPr>
                <w:b/>
                <w:iCs/>
                <w:lang w:val="en-ZA"/>
              </w:rPr>
            </w:pPr>
            <w:r w:rsidRPr="004F5269">
              <w:rPr>
                <w:iCs/>
                <w:lang w:val="en-ZA"/>
              </w:rPr>
              <w:t>(</w:t>
            </w:r>
            <w:r w:rsidRPr="00193E49">
              <w:rPr>
                <w:iCs/>
                <w:lang w:val="en-ZA"/>
              </w:rPr>
              <w:t>kW</w:t>
            </w:r>
            <w:r>
              <w:rPr>
                <w:iCs/>
                <w:lang w:val="en-ZA"/>
              </w:rPr>
              <w:t>.m</w:t>
            </w:r>
            <w:r>
              <w:rPr>
                <w:iCs/>
                <w:vertAlign w:val="superscript"/>
                <w:lang w:val="en-ZA"/>
              </w:rPr>
              <w:t>-</w:t>
            </w:r>
            <w:r w:rsidRPr="00AA4BCD">
              <w:rPr>
                <w:iCs/>
                <w:vertAlign w:val="superscript"/>
                <w:lang w:val="en-ZA"/>
              </w:rPr>
              <w:t>2</w:t>
            </w:r>
            <w:r>
              <w:rPr>
                <w:iCs/>
                <w:lang w:val="en-ZA"/>
              </w:rPr>
              <w:t>)</w:t>
            </w:r>
          </w:p>
        </w:tc>
        <w:tc>
          <w:tcPr>
            <w:tcW w:w="1800" w:type="dxa"/>
            <w:gridSpan w:val="2"/>
            <w:tcBorders>
              <w:top w:val="single" w:sz="4" w:space="0" w:color="auto"/>
            </w:tcBorders>
            <w:shd w:val="clear" w:color="auto" w:fill="auto"/>
          </w:tcPr>
          <w:p w:rsidR="00E556C0" w:rsidRDefault="00E556C0" w:rsidP="006D438B">
            <w:pPr>
              <w:pStyle w:val="BodyChar"/>
              <w:jc w:val="center"/>
              <w:rPr>
                <w:b/>
                <w:iCs/>
                <w:lang w:val="en-ZA"/>
              </w:rPr>
            </w:pPr>
            <w:r w:rsidRPr="00803D1A">
              <w:rPr>
                <w:b/>
                <w:iCs/>
                <w:lang w:val="en-ZA"/>
              </w:rPr>
              <w:t>PSPR</w:t>
            </w:r>
          </w:p>
          <w:p w:rsidR="00E556C0" w:rsidRPr="004F5269" w:rsidRDefault="00E556C0" w:rsidP="006D438B">
            <w:pPr>
              <w:pStyle w:val="BodyChar"/>
              <w:jc w:val="center"/>
              <w:rPr>
                <w:iCs/>
                <w:lang w:val="en-ZA"/>
              </w:rPr>
            </w:pPr>
            <w:r w:rsidRPr="004F5269">
              <w:rPr>
                <w:iCs/>
                <w:lang w:val="en-ZA"/>
              </w:rPr>
              <w:t>(m</w:t>
            </w:r>
            <w:r>
              <w:rPr>
                <w:iCs/>
                <w:vertAlign w:val="superscript"/>
                <w:lang w:val="en-ZA"/>
              </w:rPr>
              <w:t>2</w:t>
            </w:r>
            <w:r>
              <w:rPr>
                <w:iCs/>
                <w:lang w:val="en-ZA"/>
              </w:rPr>
              <w:t>.s</w:t>
            </w:r>
            <w:r>
              <w:rPr>
                <w:iCs/>
                <w:vertAlign w:val="superscript"/>
                <w:lang w:val="en-ZA"/>
              </w:rPr>
              <w:t>-1</w:t>
            </w:r>
            <w:r>
              <w:rPr>
                <w:iCs/>
                <w:lang w:val="en-ZA"/>
              </w:rPr>
              <w:t>)</w:t>
            </w:r>
          </w:p>
        </w:tc>
        <w:tc>
          <w:tcPr>
            <w:tcW w:w="1800" w:type="dxa"/>
            <w:gridSpan w:val="2"/>
            <w:tcBorders>
              <w:top w:val="single" w:sz="4" w:space="0" w:color="auto"/>
            </w:tcBorders>
            <w:shd w:val="clear" w:color="auto" w:fill="auto"/>
          </w:tcPr>
          <w:p w:rsidR="00E556C0" w:rsidRDefault="00E556C0" w:rsidP="006D438B">
            <w:pPr>
              <w:pStyle w:val="BodyChar"/>
              <w:ind w:left="-107" w:firstLine="90"/>
              <w:jc w:val="center"/>
            </w:pPr>
            <w:r w:rsidRPr="00803D1A">
              <w:rPr>
                <w:b/>
                <w:iCs/>
                <w:lang w:val="en-ZA"/>
              </w:rPr>
              <w:t>FIGRA</w:t>
            </w:r>
            <w:r w:rsidRPr="00C166A0">
              <w:t xml:space="preserve"> </w:t>
            </w:r>
          </w:p>
          <w:p w:rsidR="00E556C0" w:rsidRPr="00D755E4" w:rsidRDefault="00E556C0" w:rsidP="006D438B">
            <w:pPr>
              <w:pStyle w:val="BodyChar"/>
              <w:ind w:left="-107" w:firstLine="90"/>
              <w:jc w:val="center"/>
              <w:rPr>
                <w:b/>
                <w:iCs/>
                <w:lang w:val="en-ZA"/>
              </w:rPr>
            </w:pPr>
            <w:r>
              <w:t>(</w:t>
            </w:r>
            <w:r w:rsidRPr="00C166A0">
              <w:t>kW.</w:t>
            </w:r>
            <w:r>
              <w:rPr>
                <w:iCs/>
                <w:lang w:val="en-ZA"/>
              </w:rPr>
              <w:t xml:space="preserve"> m</w:t>
            </w:r>
            <w:r>
              <w:rPr>
                <w:iCs/>
                <w:vertAlign w:val="superscript"/>
                <w:lang w:val="en-ZA"/>
              </w:rPr>
              <w:t>-</w:t>
            </w:r>
            <w:r w:rsidRPr="00AA4BCD">
              <w:rPr>
                <w:iCs/>
                <w:vertAlign w:val="superscript"/>
                <w:lang w:val="en-ZA"/>
              </w:rPr>
              <w:t>2</w:t>
            </w:r>
            <w:r>
              <w:rPr>
                <w:iCs/>
                <w:lang w:val="en-ZA"/>
              </w:rPr>
              <w:t>.</w:t>
            </w:r>
            <w:r>
              <w:rPr>
                <w:iCs/>
                <w:vertAlign w:val="superscript"/>
                <w:lang w:val="en-ZA"/>
              </w:rPr>
              <w:t xml:space="preserve"> </w:t>
            </w:r>
            <w:r w:rsidRPr="00C166A0">
              <w:t>s</w:t>
            </w:r>
            <w:r w:rsidRPr="004C042C">
              <w:rPr>
                <w:vertAlign w:val="superscript"/>
              </w:rPr>
              <w:t>-1</w:t>
            </w:r>
            <w:r>
              <w:t>)</w:t>
            </w:r>
          </w:p>
        </w:tc>
        <w:tc>
          <w:tcPr>
            <w:tcW w:w="1800" w:type="dxa"/>
            <w:gridSpan w:val="2"/>
            <w:tcBorders>
              <w:top w:val="single" w:sz="4" w:space="0" w:color="auto"/>
            </w:tcBorders>
            <w:shd w:val="clear" w:color="auto" w:fill="auto"/>
          </w:tcPr>
          <w:p w:rsidR="00E556C0" w:rsidRDefault="00E556C0" w:rsidP="006D438B">
            <w:pPr>
              <w:pStyle w:val="BodyChar"/>
              <w:jc w:val="center"/>
              <w:rPr>
                <w:b/>
                <w:iCs/>
                <w:lang w:val="en-ZA"/>
              </w:rPr>
            </w:pPr>
            <w:r w:rsidRPr="00803D1A">
              <w:rPr>
                <w:b/>
                <w:iCs/>
                <w:lang w:val="en-ZA"/>
              </w:rPr>
              <w:t>SMOGRA</w:t>
            </w:r>
          </w:p>
          <w:p w:rsidR="00E556C0" w:rsidRPr="00803D1A" w:rsidRDefault="00E556C0" w:rsidP="006D438B">
            <w:pPr>
              <w:pStyle w:val="BodyChar"/>
              <w:jc w:val="center"/>
              <w:rPr>
                <w:b/>
                <w:iCs/>
                <w:lang w:val="en-ZA"/>
              </w:rPr>
            </w:pPr>
            <w:r w:rsidRPr="007B0850">
              <w:rPr>
                <w:iCs/>
                <w:lang w:val="en-ZA"/>
              </w:rPr>
              <w:t>(m</w:t>
            </w:r>
            <w:r>
              <w:rPr>
                <w:iCs/>
                <w:vertAlign w:val="superscript"/>
                <w:lang w:val="en-ZA"/>
              </w:rPr>
              <w:t>2</w:t>
            </w:r>
            <w:r>
              <w:rPr>
                <w:iCs/>
                <w:lang w:val="en-ZA"/>
              </w:rPr>
              <w:t>.s</w:t>
            </w:r>
            <w:r>
              <w:rPr>
                <w:iCs/>
                <w:vertAlign w:val="superscript"/>
                <w:lang w:val="en-ZA"/>
              </w:rPr>
              <w:t>-2</w:t>
            </w:r>
            <w:r>
              <w:rPr>
                <w:iCs/>
                <w:lang w:val="en-ZA"/>
              </w:rPr>
              <w:t>)</w:t>
            </w:r>
          </w:p>
        </w:tc>
      </w:tr>
      <w:tr w:rsidR="00E556C0" w:rsidRPr="00803D1A" w:rsidTr="006D438B">
        <w:trPr>
          <w:trHeight w:val="196"/>
        </w:trPr>
        <w:tc>
          <w:tcPr>
            <w:tcW w:w="981" w:type="dxa"/>
            <w:vMerge/>
            <w:tcBorders>
              <w:bottom w:val="single" w:sz="4" w:space="0" w:color="auto"/>
            </w:tcBorders>
          </w:tcPr>
          <w:p w:rsidR="00E556C0" w:rsidRPr="00803D1A" w:rsidRDefault="00E556C0" w:rsidP="006D438B">
            <w:pPr>
              <w:pStyle w:val="BodyChar"/>
              <w:jc w:val="center"/>
              <w:rPr>
                <w:b/>
                <w:iCs/>
                <w:lang w:val="en-ZA"/>
              </w:rPr>
            </w:pPr>
          </w:p>
        </w:tc>
        <w:tc>
          <w:tcPr>
            <w:tcW w:w="810" w:type="dxa"/>
            <w:vMerge/>
            <w:tcBorders>
              <w:bottom w:val="single" w:sz="4" w:space="0" w:color="auto"/>
            </w:tcBorders>
          </w:tcPr>
          <w:p w:rsidR="00E556C0" w:rsidRPr="00803D1A" w:rsidRDefault="00E556C0" w:rsidP="006D438B">
            <w:pPr>
              <w:pStyle w:val="BodyChar"/>
              <w:jc w:val="center"/>
              <w:rPr>
                <w:b/>
                <w:iCs/>
                <w:lang w:val="en-ZA"/>
              </w:rPr>
            </w:pPr>
          </w:p>
        </w:tc>
        <w:tc>
          <w:tcPr>
            <w:tcW w:w="720" w:type="dxa"/>
            <w:vMerge/>
            <w:tcBorders>
              <w:bottom w:val="single" w:sz="4" w:space="0" w:color="auto"/>
            </w:tcBorders>
            <w:shd w:val="clear" w:color="auto" w:fill="auto"/>
          </w:tcPr>
          <w:p w:rsidR="00E556C0" w:rsidRPr="00803D1A" w:rsidRDefault="00E556C0" w:rsidP="006D438B">
            <w:pPr>
              <w:pStyle w:val="BodyChar"/>
              <w:jc w:val="center"/>
              <w:rPr>
                <w:b/>
                <w:iCs/>
                <w:lang w:val="en-ZA"/>
              </w:rPr>
            </w:pPr>
          </w:p>
        </w:tc>
        <w:tc>
          <w:tcPr>
            <w:tcW w:w="900" w:type="dxa"/>
            <w:tcBorders>
              <w:bottom w:val="single" w:sz="4" w:space="0" w:color="auto"/>
            </w:tcBorders>
            <w:shd w:val="clear" w:color="auto" w:fill="auto"/>
          </w:tcPr>
          <w:p w:rsidR="00E556C0" w:rsidRDefault="00E556C0" w:rsidP="006D438B">
            <w:pPr>
              <w:pStyle w:val="BodyChar"/>
              <w:jc w:val="center"/>
              <w:rPr>
                <w:iCs/>
                <w:lang w:val="en-ZA"/>
              </w:rPr>
            </w:pPr>
            <w:r w:rsidRPr="00803D1A">
              <w:rPr>
                <w:iCs/>
                <w:lang w:val="en-ZA"/>
              </w:rPr>
              <w:t xml:space="preserve">50 </w:t>
            </w:r>
          </w:p>
          <w:p w:rsidR="00E556C0" w:rsidRPr="00803D1A" w:rsidRDefault="00E556C0" w:rsidP="006D438B">
            <w:pPr>
              <w:pStyle w:val="BodyChar"/>
              <w:jc w:val="center"/>
              <w:rPr>
                <w:iCs/>
                <w:lang w:val="en-ZA"/>
              </w:rPr>
            </w:pPr>
            <w:r w:rsidRPr="00193E49">
              <w:rPr>
                <w:iCs/>
                <w:lang w:val="en-ZA"/>
              </w:rPr>
              <w:t>kW</w:t>
            </w:r>
            <w:r>
              <w:rPr>
                <w:iCs/>
                <w:lang w:val="en-ZA"/>
              </w:rPr>
              <w:t>.m</w:t>
            </w:r>
            <w:r>
              <w:rPr>
                <w:iCs/>
                <w:vertAlign w:val="superscript"/>
                <w:lang w:val="en-ZA"/>
              </w:rPr>
              <w:t>-</w:t>
            </w:r>
            <w:r w:rsidRPr="00AA4BCD">
              <w:rPr>
                <w:iCs/>
                <w:vertAlign w:val="superscript"/>
                <w:lang w:val="en-ZA"/>
              </w:rPr>
              <w:t>2</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 xml:space="preserve">75 </w:t>
            </w:r>
            <w:r w:rsidRPr="00193E49">
              <w:rPr>
                <w:iCs/>
                <w:lang w:val="en-ZA"/>
              </w:rPr>
              <w:t>kW</w:t>
            </w:r>
            <w:r>
              <w:rPr>
                <w:iCs/>
                <w:lang w:val="en-ZA"/>
              </w:rPr>
              <w:t>.m</w:t>
            </w:r>
            <w:r>
              <w:rPr>
                <w:iCs/>
                <w:vertAlign w:val="superscript"/>
                <w:lang w:val="en-ZA"/>
              </w:rPr>
              <w:t>-</w:t>
            </w:r>
            <w:r w:rsidRPr="00AA4BCD">
              <w:rPr>
                <w:iCs/>
                <w:vertAlign w:val="superscript"/>
                <w:lang w:val="en-ZA"/>
              </w:rPr>
              <w:t>2</w:t>
            </w:r>
            <w:r w:rsidRPr="00193E49">
              <w:rPr>
                <w:iCs/>
                <w:lang w:val="en-ZA"/>
              </w:rPr>
              <w:t xml:space="preserve"> </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 xml:space="preserve">50 </w:t>
            </w:r>
            <w:r w:rsidRPr="00193E49">
              <w:rPr>
                <w:iCs/>
                <w:lang w:val="en-ZA"/>
              </w:rPr>
              <w:t>kW</w:t>
            </w:r>
            <w:r>
              <w:rPr>
                <w:iCs/>
                <w:lang w:val="en-ZA"/>
              </w:rPr>
              <w:t>.m</w:t>
            </w:r>
            <w:r>
              <w:rPr>
                <w:iCs/>
                <w:vertAlign w:val="superscript"/>
                <w:lang w:val="en-ZA"/>
              </w:rPr>
              <w:t>-</w:t>
            </w:r>
            <w:r w:rsidRPr="00AA4BCD">
              <w:rPr>
                <w:iCs/>
                <w:vertAlign w:val="superscript"/>
                <w:lang w:val="en-ZA"/>
              </w:rPr>
              <w:t>2</w:t>
            </w:r>
            <w:r w:rsidRPr="00193E49">
              <w:rPr>
                <w:iCs/>
                <w:lang w:val="en-ZA"/>
              </w:rPr>
              <w:t xml:space="preserve"> </w:t>
            </w:r>
          </w:p>
        </w:tc>
        <w:tc>
          <w:tcPr>
            <w:tcW w:w="900" w:type="dxa"/>
            <w:tcBorders>
              <w:bottom w:val="single" w:sz="4" w:space="0" w:color="auto"/>
            </w:tcBorders>
            <w:shd w:val="clear" w:color="auto" w:fill="auto"/>
          </w:tcPr>
          <w:p w:rsidR="00E556C0" w:rsidRDefault="00E556C0" w:rsidP="006D438B">
            <w:pPr>
              <w:pStyle w:val="BodyChar"/>
              <w:jc w:val="center"/>
              <w:rPr>
                <w:iCs/>
                <w:lang w:val="en-ZA"/>
              </w:rPr>
            </w:pPr>
            <w:r w:rsidRPr="00803D1A">
              <w:rPr>
                <w:iCs/>
                <w:lang w:val="en-ZA"/>
              </w:rPr>
              <w:t>75</w:t>
            </w:r>
          </w:p>
          <w:p w:rsidR="00E556C0" w:rsidRPr="00803D1A" w:rsidRDefault="00E556C0" w:rsidP="006D438B">
            <w:pPr>
              <w:pStyle w:val="BodyChar"/>
              <w:jc w:val="center"/>
              <w:rPr>
                <w:iCs/>
                <w:lang w:val="en-ZA"/>
              </w:rPr>
            </w:pPr>
            <w:r w:rsidRPr="00193E49">
              <w:rPr>
                <w:iCs/>
                <w:lang w:val="en-ZA"/>
              </w:rPr>
              <w:t>kW</w:t>
            </w:r>
            <w:r>
              <w:rPr>
                <w:iCs/>
                <w:lang w:val="en-ZA"/>
              </w:rPr>
              <w:t>.m</w:t>
            </w:r>
            <w:r>
              <w:rPr>
                <w:iCs/>
                <w:vertAlign w:val="superscript"/>
                <w:lang w:val="en-ZA"/>
              </w:rPr>
              <w:t>-</w:t>
            </w:r>
            <w:r w:rsidRPr="00AA4BCD">
              <w:rPr>
                <w:iCs/>
                <w:vertAlign w:val="superscript"/>
                <w:lang w:val="en-ZA"/>
              </w:rPr>
              <w:t>2</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 xml:space="preserve">50 </w:t>
            </w:r>
            <w:r w:rsidRPr="00193E49">
              <w:rPr>
                <w:iCs/>
                <w:lang w:val="en-ZA"/>
              </w:rPr>
              <w:t>kW</w:t>
            </w:r>
            <w:r>
              <w:rPr>
                <w:iCs/>
                <w:lang w:val="en-ZA"/>
              </w:rPr>
              <w:t>.m</w:t>
            </w:r>
            <w:r>
              <w:rPr>
                <w:iCs/>
                <w:vertAlign w:val="superscript"/>
                <w:lang w:val="en-ZA"/>
              </w:rPr>
              <w:t>-</w:t>
            </w:r>
            <w:r w:rsidRPr="00AA4BCD">
              <w:rPr>
                <w:iCs/>
                <w:vertAlign w:val="superscript"/>
                <w:lang w:val="en-ZA"/>
              </w:rPr>
              <w:t>2</w:t>
            </w:r>
          </w:p>
        </w:tc>
        <w:tc>
          <w:tcPr>
            <w:tcW w:w="900" w:type="dxa"/>
            <w:tcBorders>
              <w:bottom w:val="single" w:sz="4" w:space="0" w:color="auto"/>
            </w:tcBorders>
            <w:shd w:val="clear" w:color="auto" w:fill="auto"/>
          </w:tcPr>
          <w:p w:rsidR="00E556C0" w:rsidRDefault="00E556C0" w:rsidP="006D438B">
            <w:pPr>
              <w:pStyle w:val="BodyChar"/>
              <w:jc w:val="center"/>
              <w:rPr>
                <w:iCs/>
                <w:lang w:val="en-ZA"/>
              </w:rPr>
            </w:pPr>
            <w:r w:rsidRPr="00803D1A">
              <w:rPr>
                <w:iCs/>
                <w:lang w:val="en-ZA"/>
              </w:rPr>
              <w:t>75</w:t>
            </w:r>
          </w:p>
          <w:p w:rsidR="00E556C0" w:rsidRPr="00803D1A" w:rsidRDefault="00E556C0" w:rsidP="006D438B">
            <w:pPr>
              <w:pStyle w:val="BodyChar"/>
              <w:jc w:val="center"/>
              <w:rPr>
                <w:iCs/>
                <w:lang w:val="en-ZA"/>
              </w:rPr>
            </w:pPr>
            <w:r w:rsidRPr="00193E49">
              <w:rPr>
                <w:iCs/>
                <w:lang w:val="en-ZA"/>
              </w:rPr>
              <w:t>kW</w:t>
            </w:r>
            <w:r>
              <w:rPr>
                <w:iCs/>
                <w:lang w:val="en-ZA"/>
              </w:rPr>
              <w:t>.m</w:t>
            </w:r>
            <w:r>
              <w:rPr>
                <w:iCs/>
                <w:vertAlign w:val="superscript"/>
                <w:lang w:val="en-ZA"/>
              </w:rPr>
              <w:t>-</w:t>
            </w:r>
            <w:r w:rsidRPr="00AA4BCD">
              <w:rPr>
                <w:iCs/>
                <w:vertAlign w:val="superscript"/>
                <w:lang w:val="en-ZA"/>
              </w:rPr>
              <w:t>2</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 xml:space="preserve">50 </w:t>
            </w:r>
            <w:r w:rsidRPr="00193E49">
              <w:rPr>
                <w:iCs/>
                <w:lang w:val="en-ZA"/>
              </w:rPr>
              <w:t>kW</w:t>
            </w:r>
            <w:r>
              <w:rPr>
                <w:iCs/>
                <w:lang w:val="en-ZA"/>
              </w:rPr>
              <w:t>.m</w:t>
            </w:r>
            <w:r>
              <w:rPr>
                <w:iCs/>
                <w:vertAlign w:val="superscript"/>
                <w:lang w:val="en-ZA"/>
              </w:rPr>
              <w:t>-</w:t>
            </w:r>
            <w:r w:rsidRPr="00AA4BCD">
              <w:rPr>
                <w:iCs/>
                <w:vertAlign w:val="superscript"/>
                <w:lang w:val="en-ZA"/>
              </w:rPr>
              <w:t>2</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 xml:space="preserve">75 </w:t>
            </w:r>
            <w:r w:rsidRPr="00193E49">
              <w:rPr>
                <w:iCs/>
                <w:lang w:val="en-ZA"/>
              </w:rPr>
              <w:t>kW</w:t>
            </w:r>
            <w:r>
              <w:rPr>
                <w:iCs/>
                <w:lang w:val="en-ZA"/>
              </w:rPr>
              <w:t>.m</w:t>
            </w:r>
            <w:r>
              <w:rPr>
                <w:iCs/>
                <w:vertAlign w:val="superscript"/>
                <w:lang w:val="en-ZA"/>
              </w:rPr>
              <w:t>-</w:t>
            </w:r>
            <w:r w:rsidRPr="00AA4BCD">
              <w:rPr>
                <w:iCs/>
                <w:vertAlign w:val="superscript"/>
                <w:lang w:val="en-ZA"/>
              </w:rPr>
              <w:t>2</w:t>
            </w:r>
          </w:p>
        </w:tc>
      </w:tr>
      <w:tr w:rsidR="00E556C0" w:rsidRPr="00803D1A" w:rsidTr="006D438B">
        <w:trPr>
          <w:trHeight w:val="310"/>
        </w:trPr>
        <w:tc>
          <w:tcPr>
            <w:tcW w:w="981" w:type="dxa"/>
            <w:tcBorders>
              <w:top w:val="single" w:sz="4" w:space="0" w:color="auto"/>
            </w:tcBorders>
          </w:tcPr>
          <w:p w:rsidR="00E556C0" w:rsidRPr="00803D1A" w:rsidRDefault="00E556C0" w:rsidP="006D438B">
            <w:pPr>
              <w:pStyle w:val="BodyChar"/>
              <w:jc w:val="center"/>
              <w:rPr>
                <w:b/>
                <w:iCs/>
                <w:lang w:val="en-ZA"/>
              </w:rPr>
            </w:pPr>
            <w:r w:rsidRPr="00803D1A">
              <w:rPr>
                <w:b/>
                <w:iCs/>
                <w:lang w:val="en-ZA"/>
              </w:rPr>
              <w:t>A</w:t>
            </w:r>
          </w:p>
        </w:tc>
        <w:tc>
          <w:tcPr>
            <w:tcW w:w="810" w:type="dxa"/>
            <w:tcBorders>
              <w:top w:val="single" w:sz="4" w:space="0" w:color="auto"/>
            </w:tcBorders>
          </w:tcPr>
          <w:p w:rsidR="00E556C0" w:rsidRPr="00803D1A" w:rsidRDefault="00E556C0" w:rsidP="006D438B">
            <w:pPr>
              <w:pStyle w:val="BodyChar"/>
              <w:jc w:val="center"/>
              <w:rPr>
                <w:b/>
                <w:iCs/>
                <w:lang w:val="en-ZA"/>
              </w:rPr>
            </w:pPr>
            <w:r w:rsidRPr="00803D1A">
              <w:rPr>
                <w:iCs/>
                <w:lang w:val="en-ZA"/>
              </w:rPr>
              <w:t>3457</w:t>
            </w:r>
          </w:p>
        </w:tc>
        <w:tc>
          <w:tcPr>
            <w:tcW w:w="720" w:type="dxa"/>
            <w:tcBorders>
              <w:top w:val="single" w:sz="4" w:space="0" w:color="auto"/>
            </w:tcBorders>
            <w:shd w:val="clear" w:color="auto" w:fill="auto"/>
          </w:tcPr>
          <w:p w:rsidR="00E556C0" w:rsidRPr="00803D1A" w:rsidRDefault="00E556C0" w:rsidP="006D438B">
            <w:pPr>
              <w:pStyle w:val="BodyChar"/>
              <w:jc w:val="center"/>
              <w:rPr>
                <w:iCs/>
                <w:lang w:val="en-ZA"/>
              </w:rPr>
            </w:pPr>
            <w:r>
              <w:rPr>
                <w:iCs/>
                <w:lang w:val="en-ZA"/>
              </w:rPr>
              <w:t>28</w:t>
            </w:r>
          </w:p>
        </w:tc>
        <w:tc>
          <w:tcPr>
            <w:tcW w:w="900" w:type="dxa"/>
            <w:tcBorders>
              <w:top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63.6</w:t>
            </w:r>
          </w:p>
        </w:tc>
        <w:tc>
          <w:tcPr>
            <w:tcW w:w="900" w:type="dxa"/>
            <w:tcBorders>
              <w:top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106</w:t>
            </w:r>
          </w:p>
        </w:tc>
        <w:tc>
          <w:tcPr>
            <w:tcW w:w="900" w:type="dxa"/>
            <w:tcBorders>
              <w:top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0.01</w:t>
            </w:r>
          </w:p>
        </w:tc>
        <w:tc>
          <w:tcPr>
            <w:tcW w:w="900" w:type="dxa"/>
            <w:tcBorders>
              <w:top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0.04</w:t>
            </w:r>
          </w:p>
        </w:tc>
        <w:tc>
          <w:tcPr>
            <w:tcW w:w="900" w:type="dxa"/>
            <w:tcBorders>
              <w:top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1.7</w:t>
            </w:r>
          </w:p>
        </w:tc>
        <w:tc>
          <w:tcPr>
            <w:tcW w:w="900" w:type="dxa"/>
            <w:tcBorders>
              <w:top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3.9</w:t>
            </w:r>
          </w:p>
        </w:tc>
        <w:tc>
          <w:tcPr>
            <w:tcW w:w="900" w:type="dxa"/>
            <w:tcBorders>
              <w:top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4.8</w:t>
            </w:r>
          </w:p>
        </w:tc>
        <w:tc>
          <w:tcPr>
            <w:tcW w:w="900" w:type="dxa"/>
            <w:tcBorders>
              <w:top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11.7</w:t>
            </w:r>
          </w:p>
        </w:tc>
      </w:tr>
      <w:tr w:rsidR="00E556C0" w:rsidRPr="00803D1A" w:rsidTr="006D438B">
        <w:trPr>
          <w:trHeight w:val="310"/>
        </w:trPr>
        <w:tc>
          <w:tcPr>
            <w:tcW w:w="981" w:type="dxa"/>
          </w:tcPr>
          <w:p w:rsidR="00E556C0" w:rsidRPr="00803D1A" w:rsidRDefault="00E556C0" w:rsidP="006D438B">
            <w:pPr>
              <w:pStyle w:val="BodyChar"/>
              <w:jc w:val="center"/>
              <w:rPr>
                <w:b/>
                <w:iCs/>
                <w:lang w:val="en-ZA"/>
              </w:rPr>
            </w:pPr>
            <w:r w:rsidRPr="00803D1A">
              <w:rPr>
                <w:b/>
                <w:iCs/>
                <w:lang w:val="en-ZA"/>
              </w:rPr>
              <w:t>B</w:t>
            </w:r>
          </w:p>
        </w:tc>
        <w:tc>
          <w:tcPr>
            <w:tcW w:w="810" w:type="dxa"/>
          </w:tcPr>
          <w:p w:rsidR="00E556C0" w:rsidRPr="00803D1A" w:rsidRDefault="00E556C0" w:rsidP="006D438B">
            <w:pPr>
              <w:pStyle w:val="BodyChar"/>
              <w:jc w:val="center"/>
              <w:rPr>
                <w:b/>
                <w:iCs/>
                <w:lang w:val="en-ZA"/>
              </w:rPr>
            </w:pPr>
            <w:r w:rsidRPr="00803D1A">
              <w:rPr>
                <w:iCs/>
                <w:lang w:val="en-ZA"/>
              </w:rPr>
              <w:t>1730</w:t>
            </w:r>
          </w:p>
        </w:tc>
        <w:tc>
          <w:tcPr>
            <w:tcW w:w="720" w:type="dxa"/>
            <w:shd w:val="clear" w:color="auto" w:fill="auto"/>
          </w:tcPr>
          <w:p w:rsidR="00E556C0" w:rsidRPr="00803D1A" w:rsidRDefault="00E556C0" w:rsidP="006D438B">
            <w:pPr>
              <w:pStyle w:val="BodyChar"/>
              <w:jc w:val="center"/>
              <w:rPr>
                <w:iCs/>
                <w:lang w:val="en-ZA"/>
              </w:rPr>
            </w:pPr>
            <w:r>
              <w:rPr>
                <w:iCs/>
                <w:lang w:val="en-ZA"/>
              </w:rPr>
              <w:t>24</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93.4</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142.3</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0.02</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0.04</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2.1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4.7</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4</w:t>
            </w:r>
            <w:r>
              <w:rPr>
                <w:iCs/>
                <w:lang w:val="en-ZA"/>
              </w:rPr>
              <w:t>.0</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14.3</w:t>
            </w:r>
          </w:p>
        </w:tc>
      </w:tr>
      <w:tr w:rsidR="00E556C0" w:rsidRPr="00803D1A" w:rsidTr="006D438B">
        <w:trPr>
          <w:trHeight w:val="310"/>
        </w:trPr>
        <w:tc>
          <w:tcPr>
            <w:tcW w:w="981" w:type="dxa"/>
          </w:tcPr>
          <w:p w:rsidR="00E556C0" w:rsidRPr="00803D1A" w:rsidRDefault="00E556C0" w:rsidP="006D438B">
            <w:pPr>
              <w:pStyle w:val="BodyChar"/>
              <w:jc w:val="center"/>
              <w:rPr>
                <w:b/>
                <w:iCs/>
                <w:lang w:val="en-ZA"/>
              </w:rPr>
            </w:pPr>
            <w:r w:rsidRPr="00803D1A">
              <w:rPr>
                <w:b/>
                <w:iCs/>
                <w:lang w:val="en-ZA"/>
              </w:rPr>
              <w:t>C</w:t>
            </w:r>
          </w:p>
        </w:tc>
        <w:tc>
          <w:tcPr>
            <w:tcW w:w="810" w:type="dxa"/>
          </w:tcPr>
          <w:p w:rsidR="00E556C0" w:rsidRPr="00803D1A" w:rsidRDefault="00E556C0" w:rsidP="006D438B">
            <w:pPr>
              <w:pStyle w:val="BodyChar"/>
              <w:jc w:val="center"/>
              <w:rPr>
                <w:b/>
                <w:iCs/>
                <w:lang w:val="en-ZA"/>
              </w:rPr>
            </w:pPr>
            <w:r w:rsidRPr="00803D1A">
              <w:rPr>
                <w:iCs/>
                <w:lang w:val="en-ZA"/>
              </w:rPr>
              <w:t>462</w:t>
            </w:r>
          </w:p>
        </w:tc>
        <w:tc>
          <w:tcPr>
            <w:tcW w:w="720" w:type="dxa"/>
            <w:shd w:val="clear" w:color="auto" w:fill="auto"/>
          </w:tcPr>
          <w:p w:rsidR="00E556C0" w:rsidRPr="00803D1A" w:rsidRDefault="00E556C0" w:rsidP="006D438B">
            <w:pPr>
              <w:pStyle w:val="BodyChar"/>
              <w:jc w:val="center"/>
              <w:rPr>
                <w:iCs/>
                <w:lang w:val="en-ZA"/>
              </w:rPr>
            </w:pPr>
            <w:r>
              <w:rPr>
                <w:iCs/>
                <w:lang w:val="en-ZA"/>
              </w:rPr>
              <w:t>12</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80.1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145</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0.03</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1.5</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6.1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1.2</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14.6</w:t>
            </w:r>
          </w:p>
        </w:tc>
      </w:tr>
      <w:tr w:rsidR="00E556C0" w:rsidRPr="00803D1A" w:rsidTr="006D438B">
        <w:trPr>
          <w:trHeight w:val="310"/>
        </w:trPr>
        <w:tc>
          <w:tcPr>
            <w:tcW w:w="981" w:type="dxa"/>
          </w:tcPr>
          <w:p w:rsidR="00E556C0" w:rsidRPr="00803D1A" w:rsidRDefault="00E556C0" w:rsidP="006D438B">
            <w:pPr>
              <w:pStyle w:val="BodyChar"/>
              <w:jc w:val="center"/>
              <w:rPr>
                <w:b/>
                <w:iCs/>
                <w:lang w:val="en-ZA"/>
              </w:rPr>
            </w:pPr>
            <w:r w:rsidRPr="00803D1A">
              <w:rPr>
                <w:b/>
                <w:iCs/>
                <w:lang w:val="en-ZA"/>
              </w:rPr>
              <w:t>D</w:t>
            </w:r>
          </w:p>
        </w:tc>
        <w:tc>
          <w:tcPr>
            <w:tcW w:w="810" w:type="dxa"/>
          </w:tcPr>
          <w:p w:rsidR="00E556C0" w:rsidRPr="00803D1A" w:rsidRDefault="00E556C0" w:rsidP="006D438B">
            <w:pPr>
              <w:pStyle w:val="BodyChar"/>
              <w:jc w:val="center"/>
              <w:rPr>
                <w:b/>
                <w:iCs/>
                <w:lang w:val="en-ZA"/>
              </w:rPr>
            </w:pPr>
            <w:r w:rsidRPr="00803D1A">
              <w:rPr>
                <w:iCs/>
                <w:lang w:val="en-ZA"/>
              </w:rPr>
              <w:t>478</w:t>
            </w:r>
          </w:p>
        </w:tc>
        <w:tc>
          <w:tcPr>
            <w:tcW w:w="720" w:type="dxa"/>
            <w:shd w:val="clear" w:color="auto" w:fill="auto"/>
          </w:tcPr>
          <w:p w:rsidR="00E556C0" w:rsidRPr="00803D1A" w:rsidRDefault="00E556C0" w:rsidP="006D438B">
            <w:pPr>
              <w:pStyle w:val="BodyChar"/>
              <w:jc w:val="center"/>
              <w:rPr>
                <w:iCs/>
                <w:lang w:val="en-ZA"/>
              </w:rPr>
            </w:pPr>
            <w:r>
              <w:rPr>
                <w:iCs/>
                <w:lang w:val="en-ZA"/>
              </w:rPr>
              <w:t>26</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82.5</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128.9</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0.04</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2.1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6.4</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2.8</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16.0</w:t>
            </w:r>
          </w:p>
        </w:tc>
      </w:tr>
      <w:tr w:rsidR="00E556C0" w:rsidRPr="00803D1A" w:rsidTr="006D438B">
        <w:trPr>
          <w:trHeight w:val="310"/>
        </w:trPr>
        <w:tc>
          <w:tcPr>
            <w:tcW w:w="981" w:type="dxa"/>
          </w:tcPr>
          <w:p w:rsidR="00E556C0" w:rsidRPr="00803D1A" w:rsidRDefault="00E556C0" w:rsidP="006D438B">
            <w:pPr>
              <w:pStyle w:val="BodyChar"/>
              <w:jc w:val="center"/>
              <w:rPr>
                <w:b/>
                <w:iCs/>
                <w:lang w:val="en-ZA"/>
              </w:rPr>
            </w:pPr>
            <w:r w:rsidRPr="00803D1A">
              <w:rPr>
                <w:b/>
                <w:iCs/>
                <w:lang w:val="en-ZA"/>
              </w:rPr>
              <w:t>E</w:t>
            </w:r>
          </w:p>
        </w:tc>
        <w:tc>
          <w:tcPr>
            <w:tcW w:w="810" w:type="dxa"/>
          </w:tcPr>
          <w:p w:rsidR="00E556C0" w:rsidRPr="00803D1A" w:rsidRDefault="00E556C0" w:rsidP="006D438B">
            <w:pPr>
              <w:pStyle w:val="BodyChar"/>
              <w:jc w:val="center"/>
              <w:rPr>
                <w:b/>
                <w:iCs/>
                <w:lang w:val="en-ZA"/>
              </w:rPr>
            </w:pPr>
            <w:r w:rsidRPr="00803D1A">
              <w:rPr>
                <w:iCs/>
                <w:lang w:val="en-ZA"/>
              </w:rPr>
              <w:t>2455</w:t>
            </w:r>
          </w:p>
        </w:tc>
        <w:tc>
          <w:tcPr>
            <w:tcW w:w="720" w:type="dxa"/>
            <w:shd w:val="clear" w:color="auto" w:fill="auto"/>
          </w:tcPr>
          <w:p w:rsidR="00E556C0" w:rsidRPr="00803D1A" w:rsidRDefault="00E556C0" w:rsidP="006D438B">
            <w:pPr>
              <w:pStyle w:val="BodyChar"/>
              <w:jc w:val="center"/>
              <w:rPr>
                <w:iCs/>
                <w:lang w:val="en-ZA"/>
              </w:rPr>
            </w:pPr>
            <w:r>
              <w:rPr>
                <w:iCs/>
                <w:lang w:val="en-ZA"/>
              </w:rPr>
              <w:t>30</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82.5</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114.8</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0.02</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2.1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4.2</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2.8</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9.7</w:t>
            </w:r>
          </w:p>
        </w:tc>
      </w:tr>
      <w:tr w:rsidR="00E556C0" w:rsidRPr="00803D1A" w:rsidTr="006D438B">
        <w:trPr>
          <w:trHeight w:val="296"/>
        </w:trPr>
        <w:tc>
          <w:tcPr>
            <w:tcW w:w="981" w:type="dxa"/>
          </w:tcPr>
          <w:p w:rsidR="00E556C0" w:rsidRPr="00803D1A" w:rsidRDefault="00E556C0" w:rsidP="006D438B">
            <w:pPr>
              <w:pStyle w:val="BodyChar"/>
              <w:jc w:val="center"/>
              <w:rPr>
                <w:b/>
                <w:iCs/>
                <w:lang w:val="en-ZA"/>
              </w:rPr>
            </w:pPr>
            <w:r w:rsidRPr="00803D1A">
              <w:rPr>
                <w:b/>
                <w:iCs/>
                <w:lang w:val="en-ZA"/>
              </w:rPr>
              <w:t>F</w:t>
            </w:r>
          </w:p>
        </w:tc>
        <w:tc>
          <w:tcPr>
            <w:tcW w:w="810" w:type="dxa"/>
          </w:tcPr>
          <w:p w:rsidR="00E556C0" w:rsidRPr="00803D1A" w:rsidRDefault="00E556C0" w:rsidP="006D438B">
            <w:pPr>
              <w:pStyle w:val="BodyChar"/>
              <w:jc w:val="center"/>
              <w:rPr>
                <w:b/>
                <w:iCs/>
                <w:lang w:val="en-ZA"/>
              </w:rPr>
            </w:pPr>
            <w:r w:rsidRPr="00803D1A">
              <w:rPr>
                <w:iCs/>
                <w:lang w:val="en-ZA"/>
              </w:rPr>
              <w:t>2961</w:t>
            </w:r>
          </w:p>
        </w:tc>
        <w:tc>
          <w:tcPr>
            <w:tcW w:w="720" w:type="dxa"/>
            <w:shd w:val="clear" w:color="auto" w:fill="auto"/>
          </w:tcPr>
          <w:p w:rsidR="00E556C0" w:rsidRPr="00803D1A" w:rsidRDefault="00E556C0" w:rsidP="006D438B">
            <w:pPr>
              <w:pStyle w:val="BodyChar"/>
              <w:jc w:val="center"/>
              <w:rPr>
                <w:iCs/>
                <w:lang w:val="en-ZA"/>
              </w:rPr>
            </w:pPr>
            <w:r>
              <w:rPr>
                <w:iCs/>
                <w:lang w:val="en-ZA"/>
              </w:rPr>
              <w:t>29</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79.6</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123.5</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0.04</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1.6</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4.0</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3.1</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13.2</w:t>
            </w:r>
          </w:p>
        </w:tc>
      </w:tr>
      <w:tr w:rsidR="00E556C0" w:rsidRPr="00803D1A" w:rsidTr="006D438B">
        <w:trPr>
          <w:trHeight w:val="310"/>
        </w:trPr>
        <w:tc>
          <w:tcPr>
            <w:tcW w:w="981" w:type="dxa"/>
          </w:tcPr>
          <w:p w:rsidR="00E556C0" w:rsidRPr="00803D1A" w:rsidRDefault="00E556C0" w:rsidP="006D438B">
            <w:pPr>
              <w:pStyle w:val="BodyChar"/>
              <w:jc w:val="center"/>
              <w:rPr>
                <w:b/>
                <w:iCs/>
                <w:lang w:val="en-ZA"/>
              </w:rPr>
            </w:pPr>
            <w:r w:rsidRPr="00803D1A">
              <w:rPr>
                <w:b/>
                <w:iCs/>
                <w:lang w:val="en-ZA"/>
              </w:rPr>
              <w:t>G</w:t>
            </w:r>
          </w:p>
        </w:tc>
        <w:tc>
          <w:tcPr>
            <w:tcW w:w="810" w:type="dxa"/>
          </w:tcPr>
          <w:p w:rsidR="00E556C0" w:rsidRPr="00803D1A" w:rsidRDefault="00E556C0" w:rsidP="006D438B">
            <w:pPr>
              <w:pStyle w:val="BodyChar"/>
              <w:jc w:val="center"/>
              <w:rPr>
                <w:b/>
                <w:iCs/>
                <w:lang w:val="en-ZA"/>
              </w:rPr>
            </w:pPr>
            <w:r w:rsidRPr="00803D1A">
              <w:rPr>
                <w:iCs/>
                <w:lang w:val="en-ZA"/>
              </w:rPr>
              <w:t>445</w:t>
            </w:r>
          </w:p>
        </w:tc>
        <w:tc>
          <w:tcPr>
            <w:tcW w:w="720" w:type="dxa"/>
            <w:shd w:val="clear" w:color="auto" w:fill="auto"/>
          </w:tcPr>
          <w:p w:rsidR="00E556C0" w:rsidRPr="00803D1A" w:rsidRDefault="00E556C0" w:rsidP="006D438B">
            <w:pPr>
              <w:pStyle w:val="BodyChar"/>
              <w:jc w:val="center"/>
              <w:rPr>
                <w:iCs/>
                <w:lang w:val="en-ZA"/>
              </w:rPr>
            </w:pPr>
            <w:r>
              <w:rPr>
                <w:iCs/>
                <w:lang w:val="en-ZA"/>
              </w:rPr>
              <w:t>15</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166.2</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276</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0.03</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0.05</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3.5</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8.5</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5.2</w:t>
            </w:r>
          </w:p>
        </w:tc>
        <w:tc>
          <w:tcPr>
            <w:tcW w:w="900" w:type="dxa"/>
            <w:shd w:val="clear" w:color="auto" w:fill="auto"/>
          </w:tcPr>
          <w:p w:rsidR="00E556C0" w:rsidRPr="00803D1A" w:rsidRDefault="00E556C0" w:rsidP="006D438B">
            <w:pPr>
              <w:pStyle w:val="BodyChar"/>
              <w:jc w:val="center"/>
              <w:rPr>
                <w:iCs/>
                <w:lang w:val="en-ZA"/>
              </w:rPr>
            </w:pPr>
            <w:r w:rsidRPr="00803D1A">
              <w:rPr>
                <w:iCs/>
                <w:lang w:val="en-ZA"/>
              </w:rPr>
              <w:t>16.9</w:t>
            </w:r>
          </w:p>
        </w:tc>
      </w:tr>
      <w:tr w:rsidR="00E556C0" w:rsidRPr="00803D1A" w:rsidTr="006D438B">
        <w:trPr>
          <w:trHeight w:val="324"/>
        </w:trPr>
        <w:tc>
          <w:tcPr>
            <w:tcW w:w="981" w:type="dxa"/>
            <w:tcBorders>
              <w:bottom w:val="single" w:sz="4" w:space="0" w:color="auto"/>
            </w:tcBorders>
          </w:tcPr>
          <w:p w:rsidR="00E556C0" w:rsidRPr="00803D1A" w:rsidRDefault="00E556C0" w:rsidP="006D438B">
            <w:pPr>
              <w:pStyle w:val="BodyChar"/>
              <w:jc w:val="center"/>
              <w:rPr>
                <w:b/>
                <w:iCs/>
                <w:lang w:val="en-ZA"/>
              </w:rPr>
            </w:pPr>
            <w:r w:rsidRPr="00803D1A">
              <w:rPr>
                <w:b/>
                <w:iCs/>
                <w:lang w:val="en-ZA"/>
              </w:rPr>
              <w:t>H</w:t>
            </w:r>
          </w:p>
        </w:tc>
        <w:tc>
          <w:tcPr>
            <w:tcW w:w="810" w:type="dxa"/>
            <w:tcBorders>
              <w:bottom w:val="single" w:sz="4" w:space="0" w:color="auto"/>
            </w:tcBorders>
          </w:tcPr>
          <w:p w:rsidR="00E556C0" w:rsidRPr="00803D1A" w:rsidRDefault="00E556C0" w:rsidP="006D438B">
            <w:pPr>
              <w:pStyle w:val="BodyChar"/>
              <w:jc w:val="center"/>
              <w:rPr>
                <w:b/>
                <w:iCs/>
                <w:lang w:val="en-ZA"/>
              </w:rPr>
            </w:pPr>
            <w:r w:rsidRPr="00803D1A">
              <w:rPr>
                <w:iCs/>
                <w:lang w:val="en-ZA"/>
              </w:rPr>
              <w:t>4915</w:t>
            </w:r>
          </w:p>
        </w:tc>
        <w:tc>
          <w:tcPr>
            <w:tcW w:w="720" w:type="dxa"/>
            <w:tcBorders>
              <w:bottom w:val="single" w:sz="4" w:space="0" w:color="auto"/>
            </w:tcBorders>
            <w:shd w:val="clear" w:color="auto" w:fill="auto"/>
          </w:tcPr>
          <w:p w:rsidR="00E556C0" w:rsidRPr="00803D1A" w:rsidRDefault="00E556C0" w:rsidP="006D438B">
            <w:pPr>
              <w:pStyle w:val="BodyChar"/>
              <w:jc w:val="center"/>
              <w:rPr>
                <w:iCs/>
                <w:lang w:val="en-ZA"/>
              </w:rPr>
            </w:pPr>
            <w:r>
              <w:rPr>
                <w:iCs/>
                <w:lang w:val="en-ZA"/>
              </w:rPr>
              <w:t>9</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145.9</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222</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0.03</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0.05</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2.8</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6.0</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6.5</w:t>
            </w:r>
          </w:p>
        </w:tc>
        <w:tc>
          <w:tcPr>
            <w:tcW w:w="900" w:type="dxa"/>
            <w:tcBorders>
              <w:bottom w:val="single" w:sz="4" w:space="0" w:color="auto"/>
            </w:tcBorders>
            <w:shd w:val="clear" w:color="auto" w:fill="auto"/>
          </w:tcPr>
          <w:p w:rsidR="00E556C0" w:rsidRPr="00803D1A" w:rsidRDefault="00E556C0" w:rsidP="006D438B">
            <w:pPr>
              <w:pStyle w:val="BodyChar"/>
              <w:jc w:val="center"/>
              <w:rPr>
                <w:iCs/>
                <w:lang w:val="en-ZA"/>
              </w:rPr>
            </w:pPr>
            <w:r w:rsidRPr="00803D1A">
              <w:rPr>
                <w:iCs/>
                <w:lang w:val="en-ZA"/>
              </w:rPr>
              <w:t>13.7</w:t>
            </w:r>
          </w:p>
        </w:tc>
      </w:tr>
    </w:tbl>
    <w:p w:rsidR="00E556C0" w:rsidRPr="00833344" w:rsidRDefault="00E556C0" w:rsidP="00E556C0">
      <w:pPr>
        <w:pStyle w:val="BodyChar"/>
        <w:rPr>
          <w:iCs/>
          <w:lang w:val="en-ZA"/>
        </w:rPr>
      </w:pPr>
    </w:p>
    <w:p w:rsidR="00E556C0" w:rsidRPr="00680D9A" w:rsidRDefault="00E556C0" w:rsidP="00E556C0">
      <w:pPr>
        <w:pStyle w:val="Abstract"/>
        <w:spacing w:after="567"/>
        <w:ind w:left="0"/>
        <w:contextualSpacing/>
        <w:rPr>
          <w:sz w:val="22"/>
          <w:szCs w:val="22"/>
        </w:rPr>
      </w:pPr>
      <w:r w:rsidRPr="00680D9A">
        <w:rPr>
          <w:sz w:val="22"/>
          <w:szCs w:val="22"/>
        </w:rPr>
        <w:t xml:space="preserve">The average FIGRA for the </w:t>
      </w:r>
      <w:r w:rsidRPr="00F30A09">
        <w:rPr>
          <w:sz w:val="22"/>
          <w:szCs w:val="22"/>
        </w:rPr>
        <w:t>5 new bunker gears</w:t>
      </w:r>
      <w:r w:rsidRPr="0009532B">
        <w:rPr>
          <w:sz w:val="22"/>
          <w:szCs w:val="22"/>
        </w:rPr>
        <w:t xml:space="preserve"> </w:t>
      </w:r>
      <w:r w:rsidRPr="00680D9A">
        <w:rPr>
          <w:sz w:val="22"/>
          <w:szCs w:val="22"/>
        </w:rPr>
        <w:t>were found to be 1.88 ± 0.44 kW.s</w:t>
      </w:r>
      <w:r w:rsidRPr="00680D9A">
        <w:rPr>
          <w:sz w:val="22"/>
          <w:szCs w:val="22"/>
          <w:vertAlign w:val="superscript"/>
        </w:rPr>
        <w:t>-1</w:t>
      </w:r>
      <w:r w:rsidRPr="00680D9A">
        <w:rPr>
          <w:sz w:val="22"/>
          <w:szCs w:val="22"/>
        </w:rPr>
        <w:t xml:space="preserve"> and 2.63 ± 0.37 kW.s</w:t>
      </w:r>
      <w:r w:rsidRPr="00680D9A">
        <w:rPr>
          <w:sz w:val="22"/>
          <w:szCs w:val="22"/>
          <w:vertAlign w:val="superscript"/>
        </w:rPr>
        <w:t>-1</w:t>
      </w:r>
      <w:r w:rsidRPr="00680D9A">
        <w:rPr>
          <w:sz w:val="22"/>
          <w:szCs w:val="22"/>
        </w:rPr>
        <w:t xml:space="preserve"> (3 old/used bunker gears) for external irradiation flux of 50 kW.m</w:t>
      </w:r>
      <w:r w:rsidRPr="00680D9A">
        <w:rPr>
          <w:sz w:val="22"/>
          <w:szCs w:val="22"/>
          <w:vertAlign w:val="superscript"/>
        </w:rPr>
        <w:t>-2</w:t>
      </w:r>
      <w:r w:rsidRPr="00680D9A">
        <w:rPr>
          <w:sz w:val="22"/>
          <w:szCs w:val="22"/>
        </w:rPr>
        <w:t>. FIGRA values for external heat flux 75 kW.m</w:t>
      </w:r>
      <w:r w:rsidRPr="00680D9A">
        <w:rPr>
          <w:sz w:val="22"/>
          <w:szCs w:val="22"/>
          <w:vertAlign w:val="superscript"/>
        </w:rPr>
        <w:t>-2</w:t>
      </w:r>
      <w:r w:rsidRPr="00680D9A">
        <w:rPr>
          <w:sz w:val="22"/>
          <w:szCs w:val="22"/>
        </w:rPr>
        <w:t xml:space="preserve"> were 5.07 ± 1.12 kW.s</w:t>
      </w:r>
      <w:r w:rsidRPr="00680D9A">
        <w:rPr>
          <w:sz w:val="22"/>
          <w:szCs w:val="22"/>
          <w:vertAlign w:val="superscript"/>
        </w:rPr>
        <w:t>-1</w:t>
      </w:r>
      <w:r w:rsidRPr="00680D9A">
        <w:rPr>
          <w:sz w:val="22"/>
          <w:szCs w:val="22"/>
        </w:rPr>
        <w:t xml:space="preserve"> and 6.17 ± 0.99 kW.s</w:t>
      </w:r>
      <w:r w:rsidRPr="00680D9A">
        <w:rPr>
          <w:sz w:val="22"/>
          <w:szCs w:val="22"/>
          <w:vertAlign w:val="superscript"/>
        </w:rPr>
        <w:t>-1</w:t>
      </w:r>
      <w:r w:rsidRPr="00680D9A">
        <w:rPr>
          <w:sz w:val="22"/>
          <w:szCs w:val="22"/>
        </w:rPr>
        <w:t xml:space="preserve"> for new and old respectively. </w:t>
      </w:r>
      <w:r>
        <w:rPr>
          <w:sz w:val="22"/>
          <w:szCs w:val="22"/>
        </w:rPr>
        <w:t xml:space="preserve">Similarly, </w:t>
      </w:r>
      <w:r w:rsidRPr="00680D9A">
        <w:rPr>
          <w:sz w:val="22"/>
          <w:szCs w:val="22"/>
        </w:rPr>
        <w:t>SMOGRA values found were 3.12 ± 0.34 and 4.96 ± 0.59 m</w:t>
      </w:r>
      <w:r w:rsidRPr="00680D9A">
        <w:rPr>
          <w:sz w:val="22"/>
          <w:szCs w:val="22"/>
          <w:vertAlign w:val="superscript"/>
        </w:rPr>
        <w:t>2</w:t>
      </w:r>
      <w:r w:rsidRPr="00680D9A">
        <w:rPr>
          <w:sz w:val="22"/>
          <w:szCs w:val="22"/>
        </w:rPr>
        <w:t>.s</w:t>
      </w:r>
      <w:r w:rsidRPr="00680D9A">
        <w:rPr>
          <w:sz w:val="22"/>
          <w:szCs w:val="22"/>
          <w:vertAlign w:val="superscript"/>
        </w:rPr>
        <w:t>-2</w:t>
      </w:r>
      <w:r w:rsidRPr="00680D9A">
        <w:rPr>
          <w:sz w:val="22"/>
          <w:szCs w:val="22"/>
        </w:rPr>
        <w:t>, respectively for new and used gears under 50 kW.m</w:t>
      </w:r>
      <w:r w:rsidRPr="00680D9A">
        <w:rPr>
          <w:sz w:val="22"/>
          <w:szCs w:val="22"/>
          <w:vertAlign w:val="superscript"/>
        </w:rPr>
        <w:t>-2</w:t>
      </w:r>
      <w:r w:rsidRPr="00680D9A">
        <w:rPr>
          <w:sz w:val="22"/>
          <w:szCs w:val="22"/>
        </w:rPr>
        <w:t xml:space="preserve"> irradiation and 13.26 ± 3.63 and 14.60 ± 2.37 m</w:t>
      </w:r>
      <w:r w:rsidRPr="00680D9A">
        <w:rPr>
          <w:sz w:val="22"/>
          <w:szCs w:val="22"/>
          <w:vertAlign w:val="superscript"/>
        </w:rPr>
        <w:t>2</w:t>
      </w:r>
      <w:r w:rsidRPr="00680D9A">
        <w:rPr>
          <w:sz w:val="22"/>
          <w:szCs w:val="22"/>
        </w:rPr>
        <w:t>.s</w:t>
      </w:r>
      <w:r w:rsidRPr="00680D9A">
        <w:rPr>
          <w:sz w:val="22"/>
          <w:szCs w:val="22"/>
          <w:vertAlign w:val="superscript"/>
        </w:rPr>
        <w:t>-2</w:t>
      </w:r>
      <w:r w:rsidRPr="00680D9A">
        <w:rPr>
          <w:sz w:val="22"/>
          <w:szCs w:val="22"/>
        </w:rPr>
        <w:t xml:space="preserve"> under 75 kW.m</w:t>
      </w:r>
      <w:r w:rsidRPr="00680D9A">
        <w:rPr>
          <w:sz w:val="22"/>
          <w:szCs w:val="22"/>
          <w:vertAlign w:val="superscript"/>
        </w:rPr>
        <w:t xml:space="preserve">-2 </w:t>
      </w:r>
      <w:r w:rsidRPr="00680D9A">
        <w:rPr>
          <w:sz w:val="22"/>
          <w:szCs w:val="22"/>
        </w:rPr>
        <w:t>fluxes.</w:t>
      </w:r>
    </w:p>
    <w:p w:rsidR="00E556C0" w:rsidRPr="008E66F3" w:rsidRDefault="00E556C0" w:rsidP="00E556C0">
      <w:pPr>
        <w:pStyle w:val="Section"/>
        <w:rPr>
          <w:sz w:val="24"/>
        </w:rPr>
      </w:pPr>
      <w:r>
        <w:t xml:space="preserve">Conclusion </w:t>
      </w:r>
    </w:p>
    <w:p w:rsidR="00E556C0" w:rsidRPr="00B64DE9" w:rsidRDefault="00E556C0" w:rsidP="00E556C0">
      <w:pPr>
        <w:pStyle w:val="BodyChar"/>
        <w:contextualSpacing/>
      </w:pPr>
      <w:r>
        <w:rPr>
          <w:lang w:val="en-ZA"/>
        </w:rPr>
        <w:t xml:space="preserve">Firefighter protective clothing was analysed for BFR content and related thermal performance. The bunker gears were found to have PBDE content in excess of maximum permissible (1000 ppm).   </w:t>
      </w:r>
      <w:r w:rsidRPr="00122BF3">
        <w:rPr>
          <w:lang w:val="en-ZA"/>
        </w:rPr>
        <w:t xml:space="preserve">The </w:t>
      </w:r>
      <w:r>
        <w:rPr>
          <w:lang w:val="en-ZA"/>
        </w:rPr>
        <w:t xml:space="preserve">efficacy of the BRF in the bunker gears, seen in the HRR and TTI as well as FIGRA and SMOGRA values was significant but varied in the eight samples studied. Further </w:t>
      </w:r>
      <w:r w:rsidRPr="00122BF3">
        <w:rPr>
          <w:lang w:val="en-ZA"/>
        </w:rPr>
        <w:t xml:space="preserve">analysis </w:t>
      </w:r>
      <w:r>
        <w:rPr>
          <w:lang w:val="en-ZA"/>
        </w:rPr>
        <w:t xml:space="preserve">and quantification </w:t>
      </w:r>
      <w:r w:rsidRPr="00122BF3">
        <w:rPr>
          <w:lang w:val="en-ZA"/>
        </w:rPr>
        <w:t xml:space="preserve">of the brominated flame retardants </w:t>
      </w:r>
      <w:r>
        <w:rPr>
          <w:lang w:val="en-ZA"/>
        </w:rPr>
        <w:t xml:space="preserve">(PBDEs) in the </w:t>
      </w:r>
      <w:r w:rsidRPr="00122BF3">
        <w:rPr>
          <w:lang w:val="en-ZA"/>
        </w:rPr>
        <w:t xml:space="preserve">samples </w:t>
      </w:r>
      <w:r>
        <w:rPr>
          <w:lang w:val="en-ZA"/>
        </w:rPr>
        <w:t>using</w:t>
      </w:r>
      <w:r w:rsidRPr="00122BF3">
        <w:rPr>
          <w:lang w:val="en-ZA"/>
        </w:rPr>
        <w:t xml:space="preserve"> gas chromatography-mass spectroscopy (GC-MS) </w:t>
      </w:r>
      <w:r>
        <w:rPr>
          <w:lang w:val="en-ZA"/>
        </w:rPr>
        <w:t>is ongoing</w:t>
      </w:r>
      <w:r w:rsidRPr="00122BF3">
        <w:rPr>
          <w:lang w:val="en-ZA"/>
        </w:rPr>
        <w:t xml:space="preserve">. </w:t>
      </w:r>
    </w:p>
    <w:p w:rsidR="00E556C0" w:rsidRPr="00324349" w:rsidRDefault="00E556C0" w:rsidP="00E556C0">
      <w:pPr>
        <w:pStyle w:val="BodyChar"/>
      </w:pPr>
    </w:p>
    <w:p w:rsidR="00E556C0" w:rsidRPr="00610916" w:rsidRDefault="00E556C0" w:rsidP="00E556C0">
      <w:pPr>
        <w:tabs>
          <w:tab w:val="center" w:pos="4820"/>
          <w:tab w:val="right" w:pos="9072"/>
        </w:tabs>
        <w:spacing w:before="120" w:after="120"/>
        <w:contextualSpacing/>
        <w:rPr>
          <w:color w:val="000000"/>
          <w:szCs w:val="22"/>
          <w:lang w:val="en-US"/>
        </w:rPr>
      </w:pPr>
      <w:r w:rsidRPr="00610916">
        <w:rPr>
          <w:b/>
          <w:color w:val="000000"/>
          <w:szCs w:val="22"/>
          <w:lang w:val="en-US"/>
        </w:rPr>
        <w:t>Acknowledgments</w:t>
      </w:r>
    </w:p>
    <w:p w:rsidR="00E556C0" w:rsidRPr="00610916" w:rsidRDefault="00E556C0" w:rsidP="00E556C0">
      <w:pPr>
        <w:tabs>
          <w:tab w:val="center" w:pos="4820"/>
          <w:tab w:val="right" w:pos="9072"/>
        </w:tabs>
        <w:spacing w:before="120" w:after="120"/>
        <w:contextualSpacing/>
        <w:jc w:val="both"/>
        <w:rPr>
          <w:color w:val="000000"/>
          <w:szCs w:val="22"/>
          <w:lang w:val="en-US"/>
        </w:rPr>
      </w:pPr>
      <w:r w:rsidRPr="00610916">
        <w:rPr>
          <w:color w:val="000000"/>
          <w:szCs w:val="22"/>
        </w:rPr>
        <w:t xml:space="preserve">Authors wish to acknowledge Ms. S.N. </w:t>
      </w:r>
      <w:proofErr w:type="spellStart"/>
      <w:r w:rsidRPr="00610916">
        <w:rPr>
          <w:color w:val="000000"/>
          <w:szCs w:val="22"/>
        </w:rPr>
        <w:t>Nkabinde</w:t>
      </w:r>
      <w:proofErr w:type="spellEnd"/>
      <w:r w:rsidRPr="00610916">
        <w:rPr>
          <w:color w:val="000000"/>
          <w:szCs w:val="22"/>
        </w:rPr>
        <w:t xml:space="preserve"> for her valuable technical a</w:t>
      </w:r>
      <w:r>
        <w:rPr>
          <w:color w:val="000000"/>
          <w:szCs w:val="22"/>
        </w:rPr>
        <w:t xml:space="preserve">ssistance with the XRF, </w:t>
      </w:r>
      <w:proofErr w:type="spellStart"/>
      <w:r>
        <w:rPr>
          <w:color w:val="000000"/>
          <w:szCs w:val="22"/>
        </w:rPr>
        <w:t>soxhlet</w:t>
      </w:r>
      <w:proofErr w:type="spellEnd"/>
      <w:r>
        <w:rPr>
          <w:color w:val="000000"/>
          <w:szCs w:val="22"/>
        </w:rPr>
        <w:t xml:space="preserve"> and</w:t>
      </w:r>
      <w:r w:rsidRPr="00610916">
        <w:rPr>
          <w:color w:val="000000"/>
          <w:szCs w:val="22"/>
        </w:rPr>
        <w:t xml:space="preserve"> </w:t>
      </w:r>
      <w:proofErr w:type="spellStart"/>
      <w:r w:rsidRPr="00610916">
        <w:rPr>
          <w:color w:val="000000"/>
          <w:szCs w:val="22"/>
        </w:rPr>
        <w:t>ultrasonication</w:t>
      </w:r>
      <w:proofErr w:type="spellEnd"/>
      <w:r>
        <w:rPr>
          <w:color w:val="000000"/>
          <w:szCs w:val="22"/>
        </w:rPr>
        <w:t>.</w:t>
      </w:r>
      <w:r w:rsidRPr="00610916">
        <w:rPr>
          <w:color w:val="000000"/>
          <w:szCs w:val="22"/>
        </w:rPr>
        <w:t xml:space="preserve"> Authors are most grateful to the City of Johannesburg for providing support financial support in conducting this study</w:t>
      </w:r>
      <w:r>
        <w:rPr>
          <w:color w:val="000000"/>
          <w:szCs w:val="22"/>
        </w:rPr>
        <w:t>.</w:t>
      </w:r>
    </w:p>
    <w:p w:rsidR="00000000" w:rsidRDefault="00E77B32" w:rsidP="00E556C0">
      <w:pPr>
        <w:pStyle w:val="Sectionnonumber"/>
      </w:pPr>
      <w:r>
        <w:t>R</w:t>
      </w:r>
      <w:r>
        <w:t>eferences</w:t>
      </w:r>
    </w:p>
    <w:p w:rsidR="00000000" w:rsidRDefault="00502B68">
      <w:pPr>
        <w:pStyle w:val="Reference"/>
      </w:pPr>
      <w:r w:rsidRPr="001D7644">
        <w:t>Cinnamon M</w:t>
      </w:r>
      <w:r>
        <w:t xml:space="preserve"> L 2013</w:t>
      </w:r>
      <w:r w:rsidRPr="001D7644">
        <w:t xml:space="preserve"> </w:t>
      </w:r>
      <w:r w:rsidRPr="002264A2">
        <w:rPr>
          <w:i/>
        </w:rPr>
        <w:t>Post use analysis of firefighter turnout gear-phase III</w:t>
      </w:r>
      <w:r>
        <w:t xml:space="preserve"> (Lexington, MS:    Thesis University of Kentucky)</w:t>
      </w:r>
    </w:p>
    <w:p w:rsidR="00502B68" w:rsidRDefault="00502B68" w:rsidP="00502B68">
      <w:pPr>
        <w:pStyle w:val="Reference"/>
      </w:pPr>
      <w:r>
        <w:t>Lawson J R 1998 Thermal performance and limitations of bunker gear</w:t>
      </w:r>
      <w:r w:rsidRPr="00502B68">
        <w:rPr>
          <w:i/>
        </w:rPr>
        <w:t xml:space="preserve"> </w:t>
      </w:r>
      <w:r w:rsidRPr="00F67CFD">
        <w:rPr>
          <w:i/>
        </w:rPr>
        <w:t>Fire Eng</w:t>
      </w:r>
      <w:r w:rsidRPr="00E74007">
        <w:t xml:space="preserve">. </w:t>
      </w:r>
      <w:r w:rsidRPr="00D54817">
        <w:rPr>
          <w:b/>
        </w:rPr>
        <w:t>151</w:t>
      </w:r>
      <w:r>
        <w:rPr>
          <w:b/>
        </w:rPr>
        <w:t xml:space="preserve"> </w:t>
      </w:r>
      <w:r w:rsidRPr="00E74007">
        <w:t>37</w:t>
      </w:r>
    </w:p>
    <w:p w:rsidR="00502B68" w:rsidRDefault="00502B68">
      <w:pPr>
        <w:pStyle w:val="Reference"/>
      </w:pPr>
      <w:r w:rsidRPr="004E596F">
        <w:t>Mell W</w:t>
      </w:r>
      <w:r>
        <w:t xml:space="preserve"> </w:t>
      </w:r>
      <w:r w:rsidRPr="004E596F">
        <w:t xml:space="preserve">E </w:t>
      </w:r>
      <w:r>
        <w:t>and</w:t>
      </w:r>
      <w:r w:rsidRPr="004E596F">
        <w:t xml:space="preserve"> Lawson J</w:t>
      </w:r>
      <w:r>
        <w:t xml:space="preserve"> </w:t>
      </w:r>
      <w:r w:rsidRPr="004E596F">
        <w:t>R</w:t>
      </w:r>
      <w:r>
        <w:t xml:space="preserve"> 2000</w:t>
      </w:r>
      <w:r w:rsidRPr="004E596F">
        <w:t xml:space="preserve"> </w:t>
      </w:r>
      <w:r w:rsidRPr="003A64B4">
        <w:rPr>
          <w:i/>
        </w:rPr>
        <w:t>Fire Tech</w:t>
      </w:r>
      <w:r>
        <w:rPr>
          <w:i/>
        </w:rPr>
        <w:t>nol.</w:t>
      </w:r>
      <w:r>
        <w:t xml:space="preserve"> </w:t>
      </w:r>
      <w:r w:rsidRPr="00E63F51">
        <w:rPr>
          <w:b/>
        </w:rPr>
        <w:t>36</w:t>
      </w:r>
      <w:r w:rsidRPr="00FA02DF">
        <w:t xml:space="preserve"> </w:t>
      </w:r>
      <w:r w:rsidRPr="00E63F51">
        <w:t>1</w:t>
      </w:r>
    </w:p>
    <w:p w:rsidR="00502B68" w:rsidRDefault="00502B68" w:rsidP="00502B68">
      <w:pPr>
        <w:pStyle w:val="Reference"/>
      </w:pPr>
      <w:r>
        <w:t>Nayak R, Houshyar S and</w:t>
      </w:r>
      <w:r w:rsidRPr="006B36F1">
        <w:t xml:space="preserve"> Padhye</w:t>
      </w:r>
      <w:r>
        <w:t xml:space="preserve"> R 2014</w:t>
      </w:r>
      <w:r w:rsidRPr="006B36F1">
        <w:t xml:space="preserve"> Recent trends and future scope in the protection and</w:t>
      </w:r>
    </w:p>
    <w:p w:rsidR="00502B68" w:rsidRDefault="00502B68">
      <w:pPr>
        <w:pStyle w:val="Referencenonumber"/>
      </w:pPr>
      <w:r w:rsidRPr="006B36F1">
        <w:t xml:space="preserve">comfort of fire-fighters’ personal protective clothing </w:t>
      </w:r>
      <w:r w:rsidRPr="003A64B4">
        <w:rPr>
          <w:i/>
        </w:rPr>
        <w:t>Fire Sci</w:t>
      </w:r>
      <w:r>
        <w:rPr>
          <w:i/>
        </w:rPr>
        <w:t xml:space="preserve">. </w:t>
      </w:r>
      <w:r w:rsidRPr="003A64B4">
        <w:rPr>
          <w:i/>
        </w:rPr>
        <w:t>Rev</w:t>
      </w:r>
      <w:r>
        <w:rPr>
          <w:i/>
        </w:rPr>
        <w:t>.</w:t>
      </w:r>
      <w:r w:rsidRPr="006B36F1">
        <w:t xml:space="preserve"> </w:t>
      </w:r>
      <w:r w:rsidRPr="00E63F51">
        <w:rPr>
          <w:b/>
        </w:rPr>
        <w:t>3</w:t>
      </w:r>
      <w:r>
        <w:t xml:space="preserve"> 3</w:t>
      </w:r>
    </w:p>
    <w:p w:rsidR="00000000" w:rsidRDefault="00502B68">
      <w:pPr>
        <w:pStyle w:val="Reference"/>
      </w:pPr>
      <w:r w:rsidRPr="003F25A5">
        <w:lastRenderedPageBreak/>
        <w:t>Corner C</w:t>
      </w:r>
      <w:r>
        <w:t xml:space="preserve"> 2009</w:t>
      </w:r>
      <w:r w:rsidRPr="003F25A5">
        <w:t xml:space="preserve"> </w:t>
      </w:r>
      <w:r w:rsidRPr="003A006D">
        <w:rPr>
          <w:i/>
        </w:rPr>
        <w:t>Environ</w:t>
      </w:r>
      <w:r>
        <w:rPr>
          <w:i/>
        </w:rPr>
        <w:t>.</w:t>
      </w:r>
      <w:r w:rsidRPr="003A006D">
        <w:rPr>
          <w:i/>
        </w:rPr>
        <w:t xml:space="preserve"> Int</w:t>
      </w:r>
      <w:r>
        <w:rPr>
          <w:i/>
        </w:rPr>
        <w:t>.</w:t>
      </w:r>
      <w:r w:rsidRPr="0093436E">
        <w:t xml:space="preserve"> </w:t>
      </w:r>
      <w:r w:rsidRPr="00A505CB">
        <w:rPr>
          <w:b/>
        </w:rPr>
        <w:t>29</w:t>
      </w:r>
      <w:r>
        <w:t xml:space="preserve"> 683-</w:t>
      </w:r>
      <w:r w:rsidRPr="0093436E">
        <w:t>689</w:t>
      </w:r>
    </w:p>
    <w:p w:rsidR="00502B68" w:rsidRDefault="00635C36">
      <w:pPr>
        <w:pStyle w:val="Reference"/>
      </w:pPr>
      <w:r w:rsidRPr="00F3137D">
        <w:t>Lawson J</w:t>
      </w:r>
      <w:r>
        <w:t xml:space="preserve"> R</w:t>
      </w:r>
      <w:r w:rsidRPr="00F3137D">
        <w:t xml:space="preserve"> </w:t>
      </w:r>
      <w:r>
        <w:t xml:space="preserve">1997 </w:t>
      </w:r>
      <w:r w:rsidRPr="00F77719">
        <w:rPr>
          <w:i/>
        </w:rPr>
        <w:t xml:space="preserve">Performance of Protective Clothing </w:t>
      </w:r>
      <w:r>
        <w:t>vol 6, ed J O Stull and A D Schwope (Conshohocken: American Society for Testing and Materials) p 334</w:t>
      </w:r>
    </w:p>
    <w:p w:rsidR="00635C36" w:rsidRDefault="00635C36" w:rsidP="00635C36">
      <w:pPr>
        <w:pStyle w:val="Reference"/>
      </w:pPr>
      <w:r w:rsidRPr="00C82EC8">
        <w:t>Nation</w:t>
      </w:r>
      <w:r>
        <w:t xml:space="preserve">al Fire Protection Association </w:t>
      </w:r>
      <w:r w:rsidRPr="00C82EC8">
        <w:t>NFPA</w:t>
      </w:r>
      <w:r>
        <w:t>:</w:t>
      </w:r>
      <w:r w:rsidRPr="00C82EC8">
        <w:t xml:space="preserve"> 1971 2007</w:t>
      </w:r>
      <w:r>
        <w:t xml:space="preserve"> </w:t>
      </w:r>
      <w:r w:rsidRPr="00C82EC8">
        <w:t>Standard on Protective Ensemb</w:t>
      </w:r>
      <w:r>
        <w:t>le for Structural Fire Fighting (Quincy)</w:t>
      </w:r>
    </w:p>
    <w:p w:rsidR="00635C36" w:rsidRDefault="00635C36" w:rsidP="00635C36">
      <w:pPr>
        <w:pStyle w:val="Reference"/>
      </w:pPr>
      <w:r w:rsidRPr="00247326">
        <w:t>Y</w:t>
      </w:r>
      <w:r>
        <w:t xml:space="preserve">oung R </w:t>
      </w:r>
      <w:r w:rsidRPr="00247326">
        <w:t xml:space="preserve">2005 Firefighter outer </w:t>
      </w:r>
      <w:r>
        <w:t xml:space="preserve">shell materials and performance (Richmond: </w:t>
      </w:r>
      <w:r w:rsidRPr="00247326">
        <w:t>E.I. du Pont de Numours and Company</w:t>
      </w:r>
      <w:r>
        <w:t>)</w:t>
      </w:r>
    </w:p>
    <w:p w:rsidR="00635C36" w:rsidRDefault="00635C36" w:rsidP="00635C36">
      <w:pPr>
        <w:pStyle w:val="Reference"/>
      </w:pPr>
      <w:r w:rsidRPr="006911A2">
        <w:t>Alaee M</w:t>
      </w:r>
      <w:r>
        <w:t>,</w:t>
      </w:r>
      <w:r w:rsidRPr="006911A2">
        <w:t xml:space="preserve"> Arias</w:t>
      </w:r>
      <w:r w:rsidRPr="005E3B2F">
        <w:t xml:space="preserve"> </w:t>
      </w:r>
      <w:r w:rsidRPr="006911A2">
        <w:t>P, Sjödin</w:t>
      </w:r>
      <w:r w:rsidRPr="005E3B2F">
        <w:t xml:space="preserve"> </w:t>
      </w:r>
      <w:r w:rsidRPr="006911A2">
        <w:t>A</w:t>
      </w:r>
      <w:r>
        <w:t xml:space="preserve"> and</w:t>
      </w:r>
      <w:r w:rsidRPr="006911A2">
        <w:t xml:space="preserve"> Bergman Å </w:t>
      </w:r>
      <w:r>
        <w:t xml:space="preserve">2003 </w:t>
      </w:r>
      <w:r w:rsidRPr="001976D6">
        <w:rPr>
          <w:i/>
        </w:rPr>
        <w:t>Environ</w:t>
      </w:r>
      <w:r>
        <w:rPr>
          <w:i/>
        </w:rPr>
        <w:t>.</w:t>
      </w:r>
      <w:r w:rsidRPr="001976D6">
        <w:rPr>
          <w:i/>
        </w:rPr>
        <w:t xml:space="preserve"> </w:t>
      </w:r>
      <w:r>
        <w:rPr>
          <w:i/>
        </w:rPr>
        <w:t>I</w:t>
      </w:r>
      <w:r w:rsidRPr="001976D6">
        <w:rPr>
          <w:i/>
        </w:rPr>
        <w:t>nt</w:t>
      </w:r>
      <w:r>
        <w:rPr>
          <w:i/>
        </w:rPr>
        <w:t xml:space="preserve">. </w:t>
      </w:r>
      <w:r w:rsidRPr="00C676B7">
        <w:rPr>
          <w:b/>
        </w:rPr>
        <w:t>29</w:t>
      </w:r>
      <w:r>
        <w:rPr>
          <w:b/>
        </w:rPr>
        <w:t xml:space="preserve"> </w:t>
      </w:r>
      <w:r>
        <w:t>pp  683-689</w:t>
      </w:r>
    </w:p>
    <w:p w:rsidR="00635C36" w:rsidRDefault="00635C36" w:rsidP="00635C36">
      <w:pPr>
        <w:pStyle w:val="Reference"/>
      </w:pPr>
      <w:r w:rsidRPr="00E26E48">
        <w:t>Zaikov G</w:t>
      </w:r>
      <w:r>
        <w:t xml:space="preserve"> E and Lomakin</w:t>
      </w:r>
      <w:r w:rsidRPr="00E26E48">
        <w:t xml:space="preserve"> S</w:t>
      </w:r>
      <w:r>
        <w:t xml:space="preserve"> M</w:t>
      </w:r>
      <w:r w:rsidRPr="00E26E48">
        <w:t xml:space="preserve"> 2005 </w:t>
      </w:r>
      <w:r w:rsidRPr="005E3B2F">
        <w:t>Handbook of Environ</w:t>
      </w:r>
      <w:r>
        <w:t>mental</w:t>
      </w:r>
      <w:r w:rsidRPr="005E3B2F">
        <w:t xml:space="preserve"> Degradation of Materials</w:t>
      </w:r>
      <w:r>
        <w:t xml:space="preserve">(Norwich NY: </w:t>
      </w:r>
      <w:r w:rsidRPr="00E26E48">
        <w:t>William Andrew Publ</w:t>
      </w:r>
      <w:r>
        <w:t xml:space="preserve">.) pp </w:t>
      </w:r>
      <w:r w:rsidRPr="00E26E48">
        <w:t>243-259</w:t>
      </w:r>
    </w:p>
    <w:p w:rsidR="00635C36" w:rsidRDefault="00635C36" w:rsidP="00635C36">
      <w:pPr>
        <w:pStyle w:val="Reference"/>
      </w:pPr>
      <w:r w:rsidRPr="00F01EC5">
        <w:t>Sindiku O, Babayemi J, Osibanjo O, Schlum</w:t>
      </w:r>
      <w:r>
        <w:t xml:space="preserve">mer M, Schluep M, Watson A and </w:t>
      </w:r>
      <w:r w:rsidRPr="00F01EC5">
        <w:t xml:space="preserve">Weber R 2015   </w:t>
      </w:r>
      <w:r w:rsidRPr="004031FE">
        <w:rPr>
          <w:i/>
        </w:rPr>
        <w:t>Environ. Sci. Pollut. Res</w:t>
      </w:r>
      <w:r w:rsidRPr="00F01EC5">
        <w:t xml:space="preserve">. </w:t>
      </w:r>
      <w:r w:rsidRPr="00A505CB">
        <w:rPr>
          <w:b/>
        </w:rPr>
        <w:t>22</w:t>
      </w:r>
      <w:r w:rsidRPr="00F01EC5">
        <w:t xml:space="preserve"> 14489</w:t>
      </w:r>
    </w:p>
    <w:p w:rsidR="00635C36" w:rsidRDefault="00635C36" w:rsidP="00635C36">
      <w:pPr>
        <w:pStyle w:val="Reference"/>
      </w:pPr>
      <w:r w:rsidRPr="004C435F">
        <w:t>Alexander B</w:t>
      </w:r>
      <w:r>
        <w:t xml:space="preserve"> </w:t>
      </w:r>
      <w:r w:rsidRPr="004C435F">
        <w:t>M</w:t>
      </w:r>
      <w:r>
        <w:t xml:space="preserve"> and</w:t>
      </w:r>
      <w:r w:rsidRPr="004C435F">
        <w:t xml:space="preserve"> Baxter C</w:t>
      </w:r>
      <w:r>
        <w:t xml:space="preserve"> </w:t>
      </w:r>
      <w:r w:rsidRPr="004C435F">
        <w:t>S</w:t>
      </w:r>
      <w:r>
        <w:t xml:space="preserve"> 2016 </w:t>
      </w:r>
      <w:r w:rsidRPr="004C435F">
        <w:t>Flame-retardant contamination of firefighter personal protective clothing–A potential health risk for firefighters.</w:t>
      </w:r>
      <w:r w:rsidRPr="004031FE">
        <w:rPr>
          <w:i/>
        </w:rPr>
        <w:t xml:space="preserve"> J</w:t>
      </w:r>
      <w:r>
        <w:rPr>
          <w:i/>
        </w:rPr>
        <w:t>. of O</w:t>
      </w:r>
      <w:r w:rsidRPr="004031FE">
        <w:rPr>
          <w:i/>
        </w:rPr>
        <w:t xml:space="preserve">ccupational and </w:t>
      </w:r>
      <w:r>
        <w:rPr>
          <w:i/>
        </w:rPr>
        <w:t>E</w:t>
      </w:r>
      <w:r w:rsidRPr="004031FE">
        <w:rPr>
          <w:i/>
        </w:rPr>
        <w:t xml:space="preserve">nvironmental </w:t>
      </w:r>
      <w:r>
        <w:rPr>
          <w:i/>
        </w:rPr>
        <w:t>H</w:t>
      </w:r>
      <w:r w:rsidRPr="004031FE">
        <w:rPr>
          <w:i/>
        </w:rPr>
        <w:t>ygiene</w:t>
      </w:r>
      <w:r>
        <w:rPr>
          <w:i/>
        </w:rPr>
        <w:t xml:space="preserve"> </w:t>
      </w:r>
      <w:r w:rsidRPr="00A505CB">
        <w:rPr>
          <w:b/>
        </w:rPr>
        <w:t>13</w:t>
      </w:r>
      <w:r>
        <w:rPr>
          <w:b/>
        </w:rPr>
        <w:t xml:space="preserve"> </w:t>
      </w:r>
      <w:r w:rsidRPr="00C676B7">
        <w:t xml:space="preserve">pp </w:t>
      </w:r>
      <w:r w:rsidRPr="004C435F">
        <w:t>148-55</w:t>
      </w:r>
    </w:p>
    <w:p w:rsidR="00635C36" w:rsidRDefault="00635C36" w:rsidP="00635C36">
      <w:pPr>
        <w:pStyle w:val="Reference"/>
      </w:pPr>
      <w:r w:rsidRPr="00680D9A">
        <w:rPr>
          <w:rFonts w:ascii="Times New Roman" w:hAnsi="Times New Roman"/>
          <w:lang w:val="en-US"/>
        </w:rPr>
        <w:t>Horrocks A</w:t>
      </w:r>
      <w:r>
        <w:rPr>
          <w:rFonts w:ascii="Times New Roman" w:hAnsi="Times New Roman"/>
          <w:lang w:val="en-US"/>
        </w:rPr>
        <w:t xml:space="preserve"> </w:t>
      </w:r>
      <w:r w:rsidRPr="00680D9A">
        <w:rPr>
          <w:rFonts w:ascii="Times New Roman" w:hAnsi="Times New Roman"/>
          <w:lang w:val="en-US"/>
        </w:rPr>
        <w:t>R 2013</w:t>
      </w:r>
      <w:r>
        <w:rPr>
          <w:rFonts w:ascii="Times New Roman" w:hAnsi="Times New Roman"/>
          <w:lang w:val="en-US"/>
        </w:rPr>
        <w:t xml:space="preserve"> </w:t>
      </w:r>
      <w:r w:rsidRPr="00680D9A">
        <w:rPr>
          <w:rFonts w:ascii="Times New Roman" w:hAnsi="Times New Roman"/>
          <w:lang w:val="en-US"/>
        </w:rPr>
        <w:t>Textile flammability research since 1980</w:t>
      </w:r>
      <w:r>
        <w:rPr>
          <w:rFonts w:ascii="Times New Roman" w:hAnsi="Times New Roman"/>
          <w:lang w:val="en-US"/>
        </w:rPr>
        <w:t>.</w:t>
      </w:r>
      <w:r w:rsidRPr="00680D9A">
        <w:rPr>
          <w:rFonts w:ascii="Times New Roman" w:hAnsi="Times New Roman"/>
          <w:lang w:val="en-US"/>
        </w:rPr>
        <w:t xml:space="preserve"> Personal challenges and</w:t>
      </w:r>
      <w:r>
        <w:t xml:space="preserve"> </w:t>
      </w:r>
      <w:r>
        <w:rPr>
          <w:rFonts w:ascii="Times New Roman" w:hAnsi="Times New Roman"/>
          <w:lang w:val="en-US"/>
        </w:rPr>
        <w:t>s</w:t>
      </w:r>
      <w:r w:rsidRPr="00680D9A">
        <w:rPr>
          <w:rFonts w:ascii="Times New Roman" w:hAnsi="Times New Roman"/>
          <w:lang w:val="en-US"/>
        </w:rPr>
        <w:t>olutions</w:t>
      </w:r>
      <w:r>
        <w:rPr>
          <w:rFonts w:ascii="Times New Roman" w:hAnsi="Times New Roman"/>
          <w:lang w:val="en-US"/>
        </w:rPr>
        <w:t xml:space="preserve">. </w:t>
      </w:r>
      <w:r w:rsidRPr="00680D9A">
        <w:rPr>
          <w:rFonts w:ascii="Times New Roman" w:hAnsi="Times New Roman"/>
          <w:i/>
          <w:lang w:val="en-US"/>
        </w:rPr>
        <w:t>Polymer Degradation and Stability</w:t>
      </w:r>
      <w:r>
        <w:rPr>
          <w:rFonts w:ascii="Times New Roman" w:hAnsi="Times New Roman"/>
          <w:lang w:val="en-US"/>
        </w:rPr>
        <w:t xml:space="preserve"> </w:t>
      </w:r>
      <w:r w:rsidRPr="00C676B7">
        <w:rPr>
          <w:rFonts w:ascii="Times New Roman" w:hAnsi="Times New Roman"/>
          <w:b/>
          <w:lang w:val="en-US"/>
        </w:rPr>
        <w:t>98</w:t>
      </w:r>
      <w:r w:rsidRPr="00680D9A">
        <w:rPr>
          <w:rFonts w:ascii="Times New Roman" w:hAnsi="Times New Roman"/>
          <w:lang w:val="en-US"/>
        </w:rPr>
        <w:t xml:space="preserve"> </w:t>
      </w:r>
      <w:r>
        <w:rPr>
          <w:rFonts w:ascii="Times New Roman" w:hAnsi="Times New Roman"/>
          <w:lang w:val="en-US"/>
        </w:rPr>
        <w:t>pp</w:t>
      </w:r>
      <w:r w:rsidRPr="00680D9A">
        <w:rPr>
          <w:rFonts w:ascii="Times New Roman" w:hAnsi="Times New Roman"/>
          <w:lang w:val="en-US"/>
        </w:rPr>
        <w:t xml:space="preserve"> 2813</w:t>
      </w:r>
      <w:r>
        <w:rPr>
          <w:rFonts w:ascii="Times New Roman" w:hAnsi="Times New Roman"/>
          <w:lang w:val="en-US"/>
        </w:rPr>
        <w:t>-</w:t>
      </w:r>
      <w:r w:rsidRPr="00680D9A">
        <w:rPr>
          <w:rFonts w:ascii="Times New Roman" w:hAnsi="Times New Roman"/>
          <w:lang w:val="en-US"/>
        </w:rPr>
        <w:t>2824</w:t>
      </w:r>
    </w:p>
    <w:p w:rsidR="00000000" w:rsidRDefault="00E77B32" w:rsidP="00635C36">
      <w:pPr>
        <w:pStyle w:val="Reference"/>
        <w:numPr>
          <w:ilvl w:val="0"/>
          <w:numId w:val="0"/>
        </w:numPr>
      </w:pPr>
      <w:bookmarkStart w:id="0" w:name="_GoBack"/>
      <w:bookmarkEnd w:id="0"/>
    </w:p>
    <w:p w:rsidR="00000000" w:rsidRDefault="00E77B32"/>
    <w:p w:rsidR="005609C2" w:rsidRPr="00C05E48" w:rsidRDefault="005609C2"/>
    <w:sectPr w:rsidR="005609C2" w:rsidRPr="00C05E48">
      <w:headerReference w:type="even" r:id="rId10"/>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B32" w:rsidRDefault="00E77B32">
      <w:r>
        <w:separator/>
      </w:r>
    </w:p>
  </w:endnote>
  <w:endnote w:type="continuationSeparator" w:id="0">
    <w:p w:rsidR="00E77B32" w:rsidRDefault="00E7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B32" w:rsidRPr="00043761" w:rsidRDefault="00E77B32">
      <w:pPr>
        <w:pStyle w:val="Bulleted"/>
        <w:numPr>
          <w:ilvl w:val="0"/>
          <w:numId w:val="0"/>
        </w:numPr>
        <w:rPr>
          <w:rFonts w:ascii="Sabon" w:hAnsi="Sabon"/>
          <w:color w:val="auto"/>
          <w:szCs w:val="20"/>
        </w:rPr>
      </w:pPr>
      <w:r>
        <w:separator/>
      </w:r>
    </w:p>
  </w:footnote>
  <w:footnote w:type="continuationSeparator" w:id="0">
    <w:p w:rsidR="00E77B32" w:rsidRDefault="00E7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57" w:rsidRDefault="00E77B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57" w:rsidRDefault="00E77B32"/>
  <w:p w:rsidR="00052A57" w:rsidRDefault="00E77B32"/>
  <w:p w:rsidR="00052A57" w:rsidRDefault="00E77B32"/>
  <w:p w:rsidR="00052A57" w:rsidRDefault="00E77B32"/>
  <w:p w:rsidR="00052A57" w:rsidRDefault="00E77B32"/>
  <w:p w:rsidR="00052A57" w:rsidRDefault="00E77B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9C2"/>
    <w:rsid w:val="000B324E"/>
    <w:rsid w:val="00322005"/>
    <w:rsid w:val="00502B68"/>
    <w:rsid w:val="005609C2"/>
    <w:rsid w:val="005744BA"/>
    <w:rsid w:val="00635C36"/>
    <w:rsid w:val="00963C5A"/>
    <w:rsid w:val="00B11CA3"/>
    <w:rsid w:val="00E42B67"/>
    <w:rsid w:val="00E556C0"/>
    <w:rsid w:val="00E7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893E3"/>
  <w15:chartTrackingRefBased/>
  <w15:docId w15:val="{912205D1-BBB0-47CF-944A-15CC0C64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character" w:styleId="Hyperlink">
    <w:name w:val="Hyperlink"/>
    <w:semiHidden/>
    <w:rsid w:val="000B324E"/>
    <w:rPr>
      <w:color w:val="0000FF"/>
      <w:u w:val="single"/>
    </w:rPr>
  </w:style>
  <w:style w:type="paragraph" w:customStyle="1" w:styleId="25mmIndent">
    <w:name w:val="25mmIndent"/>
    <w:rsid w:val="000B324E"/>
    <w:pPr>
      <w:ind w:left="1418"/>
    </w:pPr>
    <w:rPr>
      <w:rFonts w:ascii="Times" w:hAnsi="Times"/>
      <w:sz w:val="22"/>
      <w:szCs w:val="22"/>
    </w:rPr>
  </w:style>
  <w:style w:type="paragraph" w:customStyle="1" w:styleId="wfxDate">
    <w:name w:val="wfxDate"/>
    <w:basedOn w:val="Normal"/>
    <w:semiHidden/>
    <w:rsid w:val="00322005"/>
    <w:rPr>
      <w:rFonts w:ascii="Sabon" w:hAnsi="Sabon"/>
    </w:rPr>
  </w:style>
  <w:style w:type="paragraph" w:customStyle="1" w:styleId="BodyChar">
    <w:name w:val="Body Char"/>
    <w:link w:val="BodyCharChar"/>
    <w:rsid w:val="00322005"/>
    <w:pPr>
      <w:tabs>
        <w:tab w:val="left" w:pos="567"/>
      </w:tabs>
      <w:jc w:val="both"/>
    </w:pPr>
    <w:rPr>
      <w:rFonts w:ascii="Times" w:hAnsi="Times"/>
      <w:color w:val="000000"/>
      <w:sz w:val="22"/>
      <w:szCs w:val="22"/>
      <w:lang w:val="en-GB"/>
    </w:rPr>
  </w:style>
  <w:style w:type="character" w:customStyle="1" w:styleId="BodyCharChar">
    <w:name w:val="Body Char Char"/>
    <w:link w:val="BodyChar"/>
    <w:rsid w:val="00322005"/>
    <w:rPr>
      <w:rFonts w:ascii="Times" w:hAnsi="Times"/>
      <w:color w:val="000000"/>
      <w:sz w:val="22"/>
      <w:szCs w:val="22"/>
      <w:lang w:val="en-GB"/>
    </w:rPr>
  </w:style>
  <w:style w:type="paragraph" w:customStyle="1" w:styleId="wfxFaxNum">
    <w:name w:val="wfxFaxNum"/>
    <w:basedOn w:val="Normal"/>
    <w:semiHidden/>
    <w:rsid w:val="005744BA"/>
    <w:rPr>
      <w:rFonts w:ascii="Sabon" w:hAnsi="Sabon"/>
    </w:rPr>
  </w:style>
  <w:style w:type="paragraph" w:customStyle="1" w:styleId="wfxRecipient">
    <w:name w:val="wfxRecipient"/>
    <w:basedOn w:val="Normal"/>
    <w:semiHidden/>
    <w:rsid w:val="00B11CA3"/>
    <w:rPr>
      <w:rFonts w:ascii="Sabon" w:hAnsi="Sabon"/>
    </w:rPr>
  </w:style>
  <w:style w:type="paragraph" w:customStyle="1" w:styleId="subsection0">
    <w:name w:val="subsection"/>
    <w:rsid w:val="00E556C0"/>
    <w:pPr>
      <w:tabs>
        <w:tab w:val="left" w:pos="567"/>
      </w:tabs>
      <w:spacing w:before="240"/>
    </w:pPr>
    <w:rPr>
      <w:rFonts w:ascii="Times" w:hAnsi="Times"/>
      <w:i/>
      <w:iCs/>
      <w:color w:val="000000"/>
      <w:sz w:val="22"/>
      <w:szCs w:val="22"/>
    </w:rPr>
  </w:style>
  <w:style w:type="paragraph" w:customStyle="1" w:styleId="section0">
    <w:name w:val="section"/>
    <w:link w:val="sectionChar"/>
    <w:autoRedefine/>
    <w:rsid w:val="00E556C0"/>
    <w:pPr>
      <w:tabs>
        <w:tab w:val="left" w:pos="567"/>
      </w:tabs>
      <w:spacing w:before="240"/>
    </w:pPr>
    <w:rPr>
      <w:rFonts w:ascii="Times" w:hAnsi="Times"/>
      <w:b/>
      <w:color w:val="000000"/>
      <w:sz w:val="22"/>
      <w:szCs w:val="22"/>
      <w:lang w:val="en-GB"/>
    </w:rPr>
  </w:style>
  <w:style w:type="character" w:customStyle="1" w:styleId="sectionChar">
    <w:name w:val="section Char"/>
    <w:link w:val="section0"/>
    <w:rsid w:val="00E556C0"/>
    <w:rPr>
      <w:rFonts w:ascii="Times" w:hAnsi="Times"/>
      <w:b/>
      <w:color w:val="000000"/>
      <w:sz w:val="22"/>
      <w:szCs w:val="22"/>
      <w:lang w:val="en-GB"/>
    </w:rPr>
  </w:style>
  <w:style w:type="paragraph" w:customStyle="1" w:styleId="BodyIndent">
    <w:name w:val="BodyIndent"/>
    <w:basedOn w:val="Normal"/>
    <w:link w:val="BodyIndentChar"/>
    <w:autoRedefine/>
    <w:rsid w:val="00E556C0"/>
    <w:pPr>
      <w:tabs>
        <w:tab w:val="left" w:pos="567"/>
      </w:tabs>
      <w:ind w:firstLine="284"/>
      <w:jc w:val="both"/>
    </w:pPr>
    <w:rPr>
      <w:color w:val="000000"/>
      <w:szCs w:val="22"/>
    </w:rPr>
  </w:style>
  <w:style w:type="character" w:customStyle="1" w:styleId="BodyIndentChar">
    <w:name w:val="BodyIndent Char"/>
    <w:link w:val="BodyIndent"/>
    <w:rsid w:val="00E556C0"/>
    <w:rPr>
      <w:rFonts w:ascii="Times" w:hAnsi="Times"/>
      <w:color w:val="000000"/>
      <w:sz w:val="22"/>
      <w:szCs w:val="22"/>
      <w:lang w:val="en-GB"/>
    </w:rPr>
  </w:style>
  <w:style w:type="paragraph" w:styleId="NormalWeb">
    <w:name w:val="Normal (Web)"/>
    <w:basedOn w:val="Normal"/>
    <w:uiPriority w:val="99"/>
    <w:semiHidden/>
    <w:rsid w:val="00502B68"/>
    <w:pPr>
      <w:spacing w:before="100" w:beforeAutospacing="1" w:after="100" w:afterAutospacing="1"/>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nteJKO\AppData\Local\Temp\ZGTemp\MS%20Word%20Template\JPCSA4Sh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JPCSA4ShortTemplate.dot</Template>
  <TotalTime>60</TotalTime>
  <Pages>6</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Joseph Kwaku Ofori Asante</dc:creator>
  <cp:keywords>open access, proceedings, template, fast, affordable, flexible</cp:keywords>
  <dc:description/>
  <cp:lastModifiedBy>Joseph Kwaku Ofori Asante</cp:lastModifiedBy>
  <cp:revision>1</cp:revision>
  <cp:lastPrinted>2005-02-25T08:52:00Z</cp:lastPrinted>
  <dcterms:created xsi:type="dcterms:W3CDTF">2018-11-06T21:44:00Z</dcterms:created>
  <dcterms:modified xsi:type="dcterms:W3CDTF">2018-11-06T23:23:00Z</dcterms:modified>
</cp:coreProperties>
</file>