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B43A7" w14:textId="77777777" w:rsidR="000F0071" w:rsidRPr="00BC2687" w:rsidRDefault="00BC2687" w:rsidP="00BE3C7A">
      <w:pPr>
        <w:pStyle w:val="Title"/>
        <w:spacing w:before="0" w:after="0"/>
        <w:rPr>
          <w:lang w:val="en-ZA"/>
        </w:rPr>
      </w:pPr>
      <w:bookmarkStart w:id="0" w:name="_GoBack"/>
      <w:bookmarkEnd w:id="0"/>
      <w:r>
        <w:rPr>
          <w:lang w:val="en-ZA"/>
        </w:rPr>
        <w:t xml:space="preserve">Performance monitoring of a </w:t>
      </w:r>
      <w:r w:rsidR="00AE7995">
        <w:rPr>
          <w:lang w:val="en-ZA"/>
        </w:rPr>
        <w:t>photovoltaic thermal collector</w:t>
      </w:r>
    </w:p>
    <w:p w14:paraId="148F2D05" w14:textId="77777777" w:rsidR="00BE3C7A" w:rsidRDefault="00BE3C7A" w:rsidP="00BE3C7A">
      <w:pPr>
        <w:pStyle w:val="Authors"/>
        <w:spacing w:after="0"/>
        <w:ind w:left="567"/>
        <w:rPr>
          <w:lang w:val="en-ZA"/>
        </w:rPr>
      </w:pPr>
    </w:p>
    <w:p w14:paraId="53BEDA01" w14:textId="77777777" w:rsidR="000F0071" w:rsidRPr="00FB6A28" w:rsidRDefault="00FB6A28" w:rsidP="00BE3C7A">
      <w:pPr>
        <w:pStyle w:val="Authors"/>
        <w:spacing w:after="0"/>
        <w:ind w:left="567"/>
        <w:rPr>
          <w:lang w:val="en-ZA"/>
        </w:rPr>
      </w:pPr>
      <w:r>
        <w:rPr>
          <w:lang w:val="en-ZA"/>
        </w:rPr>
        <w:t>B Mtunzi</w:t>
      </w:r>
      <w:r w:rsidR="00806BAC">
        <w:rPr>
          <w:lang w:val="en-ZA"/>
        </w:rPr>
        <w:t xml:space="preserve"> </w:t>
      </w:r>
      <w:r w:rsidR="00BC2687" w:rsidRPr="00BC2687">
        <w:rPr>
          <w:lang w:val="en-ZA"/>
        </w:rPr>
        <w:t>, E</w:t>
      </w:r>
      <w:r>
        <w:rPr>
          <w:lang w:val="en-ZA"/>
        </w:rPr>
        <w:t xml:space="preserve"> L Meyer</w:t>
      </w:r>
      <w:r w:rsidR="00AE7995">
        <w:rPr>
          <w:lang w:val="en-ZA"/>
        </w:rPr>
        <w:t xml:space="preserve"> and</w:t>
      </w:r>
      <w:r>
        <w:rPr>
          <w:lang w:val="en-ZA"/>
        </w:rPr>
        <w:t xml:space="preserve"> M Simon</w:t>
      </w:r>
    </w:p>
    <w:p w14:paraId="5BBE3340" w14:textId="77777777" w:rsidR="000F0071" w:rsidRDefault="00BC2687" w:rsidP="00BE3C7A">
      <w:pPr>
        <w:pStyle w:val="Addresses"/>
        <w:spacing w:after="0"/>
        <w:ind w:left="567"/>
      </w:pPr>
      <w:r>
        <w:rPr>
          <w:lang w:val="en-ZA"/>
        </w:rPr>
        <w:t xml:space="preserve">University of Fort Hare, </w:t>
      </w:r>
      <w:r w:rsidRPr="00BC2687">
        <w:rPr>
          <w:lang w:val="en-ZA"/>
        </w:rPr>
        <w:t>Institute of Technology</w:t>
      </w:r>
      <w:r>
        <w:rPr>
          <w:lang w:val="en-ZA"/>
        </w:rPr>
        <w:t xml:space="preserve"> P</w:t>
      </w:r>
      <w:r w:rsidR="00AE7995">
        <w:rPr>
          <w:lang w:val="en-ZA"/>
        </w:rPr>
        <w:t>rivate</w:t>
      </w:r>
      <w:r>
        <w:rPr>
          <w:lang w:val="en-ZA"/>
        </w:rPr>
        <w:t xml:space="preserve"> Bag</w:t>
      </w:r>
      <w:r w:rsidR="00AE7995">
        <w:rPr>
          <w:lang w:val="en-ZA"/>
        </w:rPr>
        <w:t xml:space="preserve"> X1314 Alice 5700, South Africa</w:t>
      </w:r>
    </w:p>
    <w:p w14:paraId="2AC104C1" w14:textId="77777777" w:rsidR="000F0071" w:rsidRDefault="000F0071" w:rsidP="00BE3C7A">
      <w:pPr>
        <w:pStyle w:val="E-mail"/>
        <w:spacing w:after="0"/>
        <w:ind w:left="567"/>
      </w:pPr>
      <w:r w:rsidRPr="00AE7995">
        <w:rPr>
          <w:i/>
        </w:rPr>
        <w:t>e-mail</w:t>
      </w:r>
      <w:r w:rsidR="00BC2687">
        <w:t>: bmtunzi@ufh.ac.za</w:t>
      </w:r>
    </w:p>
    <w:p w14:paraId="49E0262C" w14:textId="77777777" w:rsidR="00BE3C7A" w:rsidRDefault="00BE3C7A" w:rsidP="00BE3C7A">
      <w:pPr>
        <w:pStyle w:val="Abstract"/>
        <w:spacing w:after="0"/>
        <w:ind w:left="567"/>
        <w:rPr>
          <w:b/>
        </w:rPr>
      </w:pPr>
    </w:p>
    <w:p w14:paraId="37253975" w14:textId="77777777" w:rsidR="00E37268" w:rsidRDefault="000F0071" w:rsidP="00BE3C7A">
      <w:pPr>
        <w:pStyle w:val="Abstract"/>
        <w:spacing w:after="0"/>
        <w:ind w:left="567"/>
      </w:pPr>
      <w:r>
        <w:rPr>
          <w:b/>
        </w:rPr>
        <w:t>Abstract</w:t>
      </w:r>
      <w:r>
        <w:t xml:space="preserve">. </w:t>
      </w:r>
      <w:r w:rsidR="00E37268" w:rsidRPr="00E37268">
        <w:rPr>
          <w:lang w:val="en-ZA"/>
        </w:rPr>
        <w:t>Photovoltaic (PV) modules convert around 15% of incoming solar radiation into electrical energy. This implies that a significant percentage of the remaining radiation is absorbed as heat or reflected. PV modules are known to operate at temperatures as high as 60°C when irradiance levels increase above 900 W/m</w:t>
      </w:r>
      <w:r w:rsidR="00E37268" w:rsidRPr="00E37268">
        <w:rPr>
          <w:vertAlign w:val="superscript"/>
          <w:lang w:val="en-ZA"/>
        </w:rPr>
        <w:t>2</w:t>
      </w:r>
      <w:r w:rsidR="00E37268" w:rsidRPr="00E37268">
        <w:rPr>
          <w:lang w:val="en-ZA"/>
        </w:rPr>
        <w:t>, which detracts from th</w:t>
      </w:r>
      <w:r w:rsidR="00BE3C7A">
        <w:rPr>
          <w:lang w:val="en-ZA"/>
        </w:rPr>
        <w:t>e standard test condition (STC)</w:t>
      </w:r>
      <w:r w:rsidR="00E37268" w:rsidRPr="00E37268">
        <w:rPr>
          <w:lang w:val="en-ZA"/>
        </w:rPr>
        <w:t xml:space="preserve"> rated power of the modules. It is therefore worth investigating how the absorbed heat can be dissipated in a constructive manner. This study thus aims at developing a mechanism to exchange the heat absorbed by PV modules with a coolant such as water, turning the PV modules essentially into a thermal collector in addition to generating electricity. This paper presents the design and performance monitoring of a photovoltaic (PV) module when used as a thermal collector for heating water. The photovoltaic thermal system (PTS) installed at the University of Fo</w:t>
      </w:r>
      <w:r w:rsidR="00BE3C7A">
        <w:rPr>
          <w:lang w:val="en-ZA"/>
        </w:rPr>
        <w:t>rt Hare comprised of a 94-litre</w:t>
      </w:r>
      <w:r w:rsidR="00E37268" w:rsidRPr="00E37268">
        <w:rPr>
          <w:lang w:val="en-ZA"/>
        </w:rPr>
        <w:t xml:space="preserve"> system. The PV modules used were </w:t>
      </w:r>
      <w:r w:rsidR="00BE3C7A">
        <w:rPr>
          <w:lang w:val="en-ZA"/>
        </w:rPr>
        <w:t>80 W</w:t>
      </w:r>
      <w:r w:rsidR="00E37268" w:rsidRPr="00E37268">
        <w:rPr>
          <w:lang w:val="en-ZA"/>
        </w:rPr>
        <w:t xml:space="preserve"> polycrystalline silicon modules, each with STC conversion </w:t>
      </w:r>
      <w:r w:rsidR="00BE3C7A">
        <w:rPr>
          <w:lang w:val="en-ZA"/>
        </w:rPr>
        <w:t>efficiency of 11</w:t>
      </w:r>
      <w:r w:rsidR="00E37268" w:rsidRPr="00E37268">
        <w:rPr>
          <w:lang w:val="en-ZA"/>
        </w:rPr>
        <w:t xml:space="preserve">%. Findings indicated that the PV module in the PTS operated at lower temperatures resulting in higher efficiencies. </w:t>
      </w:r>
      <w:r w:rsidR="00E37268" w:rsidRPr="00E37268">
        <w:rPr>
          <w:iCs/>
        </w:rPr>
        <w:t xml:space="preserve">The monthly energy saving efficiency of the PTS was found to be approximately 61%.  </w:t>
      </w:r>
      <w:r w:rsidR="00E37268" w:rsidRPr="00E37268">
        <w:rPr>
          <w:lang w:val="en-ZA"/>
        </w:rPr>
        <w:t>This paper presents the performance monitoring of the PTS as compared to the equivalent PV module for five months.</w:t>
      </w:r>
    </w:p>
    <w:p w14:paraId="2A19FE52" w14:textId="77777777" w:rsidR="00BE3C7A" w:rsidRPr="00BE3C7A" w:rsidRDefault="00BE3C7A" w:rsidP="00BE3C7A">
      <w:pPr>
        <w:pStyle w:val="Section"/>
        <w:numPr>
          <w:ilvl w:val="0"/>
          <w:numId w:val="0"/>
        </w:numPr>
        <w:spacing w:before="0"/>
      </w:pPr>
    </w:p>
    <w:p w14:paraId="423E47D6" w14:textId="77777777" w:rsidR="000F0071" w:rsidRDefault="00BE3C7A" w:rsidP="00BE3C7A">
      <w:pPr>
        <w:pStyle w:val="Section"/>
        <w:numPr>
          <w:ilvl w:val="0"/>
          <w:numId w:val="0"/>
        </w:numPr>
        <w:spacing w:before="0"/>
        <w:ind w:left="567" w:hanging="567"/>
      </w:pPr>
      <w:r>
        <w:t>1</w:t>
      </w:r>
      <w:r>
        <w:tab/>
      </w:r>
      <w:r w:rsidR="0032421C">
        <w:t>Introduction</w:t>
      </w:r>
    </w:p>
    <w:p w14:paraId="6A56B17C" w14:textId="77777777" w:rsidR="00E37268" w:rsidRDefault="00E37268" w:rsidP="00BE3C7A">
      <w:pPr>
        <w:pStyle w:val="BodytextIndented"/>
        <w:ind w:firstLine="0"/>
        <w:rPr>
          <w:lang w:val="en-GB"/>
        </w:rPr>
      </w:pPr>
      <w:r w:rsidRPr="00E37268">
        <w:rPr>
          <w:lang w:val="en-GB"/>
        </w:rPr>
        <w:t xml:space="preserve">In South Africa 95% of its primary energy mix consists of 77% coal, 13% oil and 5% natural gas and the remainder 5% is contributed from biomass and renewable energy [1].  When burnt, the fossil fuels produce carbon dioxide, nitrogen dioxide and </w:t>
      </w:r>
      <w:r w:rsidR="00A54EDA" w:rsidRPr="00E37268">
        <w:rPr>
          <w:lang w:val="en-GB"/>
        </w:rPr>
        <w:t>sulphur</w:t>
      </w:r>
      <w:r w:rsidRPr="00E37268">
        <w:rPr>
          <w:lang w:val="en-GB"/>
        </w:rPr>
        <w:t xml:space="preserve"> dioxide.  These gases contribute negatively towards the environment by causing global warming. Fossil and nuclear fuels are unsustainable and it is imperative to reduce our daily reliance on them.  Renewable energy resources </w:t>
      </w:r>
      <w:r>
        <w:rPr>
          <w:lang w:val="en-GB"/>
        </w:rPr>
        <w:t xml:space="preserve">are </w:t>
      </w:r>
      <w:r w:rsidRPr="00E37268">
        <w:rPr>
          <w:lang w:val="en-GB"/>
        </w:rPr>
        <w:t xml:space="preserve">however sustainable and can be used continuously without notable negative </w:t>
      </w:r>
      <w:r w:rsidR="00BE3C7A">
        <w:rPr>
          <w:lang w:val="en-GB"/>
        </w:rPr>
        <w:t xml:space="preserve">environmental </w:t>
      </w:r>
      <w:r w:rsidRPr="00E37268">
        <w:rPr>
          <w:lang w:val="en-GB"/>
        </w:rPr>
        <w:t>impact [2].  This signifies the need f</w:t>
      </w:r>
      <w:r w:rsidR="00BE3C7A">
        <w:rPr>
          <w:lang w:val="en-GB"/>
        </w:rPr>
        <w:t>or renewable energy resources.</w:t>
      </w:r>
    </w:p>
    <w:p w14:paraId="1AE3CC99" w14:textId="77777777" w:rsidR="00E37268" w:rsidRDefault="00E37268" w:rsidP="00BE3C7A">
      <w:pPr>
        <w:pStyle w:val="BodytextIndented"/>
        <w:ind w:firstLine="0"/>
      </w:pPr>
    </w:p>
    <w:p w14:paraId="302CC84C" w14:textId="77777777" w:rsidR="00E37268" w:rsidRDefault="00E37268" w:rsidP="00BE3C7A">
      <w:pPr>
        <w:pStyle w:val="BodytextIndented"/>
        <w:ind w:firstLine="0"/>
        <w:rPr>
          <w:lang w:val="en-ZA"/>
        </w:rPr>
      </w:pPr>
      <w:r w:rsidRPr="00E37268">
        <w:t xml:space="preserve">Photovoltaic (PV) systems are cleaner means of electricity production, no emissions during electricity production, </w:t>
      </w:r>
      <w:proofErr w:type="gramStart"/>
      <w:r w:rsidRPr="00E37268">
        <w:t>no</w:t>
      </w:r>
      <w:proofErr w:type="gramEnd"/>
      <w:r w:rsidRPr="00E37268">
        <w:t xml:space="preserve"> noise from the PV generators and are environmentally friendly. PV systems have been used mainly in outlying areas not connected to the electricity utility grid. However silicon photovoltaic modules only convert around 15% of incoming solar radiation and the rest is lost mainly as heat and through reflection.</w:t>
      </w:r>
      <w:r w:rsidR="00AF5F80">
        <w:rPr>
          <w:lang w:val="en-ZA"/>
        </w:rPr>
        <w:t xml:space="preserve"> T</w:t>
      </w:r>
      <w:r w:rsidRPr="00E37268">
        <w:rPr>
          <w:lang w:val="en-ZA"/>
        </w:rPr>
        <w:t xml:space="preserve">herefore </w:t>
      </w:r>
      <w:r w:rsidR="00AF5F80">
        <w:rPr>
          <w:lang w:val="en-ZA"/>
        </w:rPr>
        <w:t xml:space="preserve">it is </w:t>
      </w:r>
      <w:r w:rsidRPr="00E37268">
        <w:rPr>
          <w:lang w:val="en-ZA"/>
        </w:rPr>
        <w:t>worth investigating on how the l</w:t>
      </w:r>
      <w:r w:rsidR="00AF5F80">
        <w:rPr>
          <w:lang w:val="en-ZA"/>
        </w:rPr>
        <w:t>ost heat can be utilised.  R</w:t>
      </w:r>
      <w:r w:rsidRPr="00E37268">
        <w:rPr>
          <w:lang w:val="en-ZA"/>
        </w:rPr>
        <w:t>eal data need to be used to determine the performance of the PV modules with respect to electricity and warm water production. In this paper the performance analysis of the system was carried out for the months of September 2011 to January 2012.</w:t>
      </w:r>
    </w:p>
    <w:p w14:paraId="410CE6B9" w14:textId="77777777" w:rsidR="00BE3C7A" w:rsidRPr="00AF5F80" w:rsidRDefault="00BE3C7A" w:rsidP="00BE3C7A">
      <w:pPr>
        <w:pStyle w:val="BodytextIndented"/>
        <w:ind w:firstLine="0"/>
      </w:pPr>
    </w:p>
    <w:p w14:paraId="26FC1C41" w14:textId="77777777" w:rsidR="000F0071" w:rsidRPr="00BE3C7A" w:rsidRDefault="00512EA5" w:rsidP="00BE3C7A">
      <w:pPr>
        <w:pStyle w:val="Section"/>
        <w:numPr>
          <w:ilvl w:val="1"/>
          <w:numId w:val="5"/>
        </w:numPr>
        <w:spacing w:before="0"/>
        <w:ind w:left="567" w:hanging="567"/>
        <w:rPr>
          <w:i/>
        </w:rPr>
      </w:pPr>
      <w:r w:rsidRPr="00BE3C7A">
        <w:rPr>
          <w:i/>
        </w:rPr>
        <w:t>Theoretical Background</w:t>
      </w:r>
    </w:p>
    <w:p w14:paraId="30D4A34F" w14:textId="77777777" w:rsidR="00BD0EF3" w:rsidRDefault="000F0071" w:rsidP="00BE3C7A">
      <w:pPr>
        <w:pStyle w:val="Bodytext"/>
      </w:pPr>
      <w:r>
        <w:t>The</w:t>
      </w:r>
      <w:r w:rsidR="00943151">
        <w:t xml:space="preserve"> power from a PV module is deter</w:t>
      </w:r>
      <w:r w:rsidR="00BE3C7A">
        <w:t>mined using the relationship:</w:t>
      </w:r>
    </w:p>
    <w:p w14:paraId="6889E24B" w14:textId="77777777" w:rsidR="00BE3C7A" w:rsidRPr="00950A7D" w:rsidRDefault="00BE3C7A" w:rsidP="00950A7D">
      <w:pPr>
        <w:pStyle w:val="BodytextIndented"/>
        <w:ind w:firstLine="0"/>
        <w:rPr>
          <w:sz w:val="16"/>
          <w:szCs w:val="16"/>
        </w:rPr>
      </w:pPr>
    </w:p>
    <w:p w14:paraId="0CBB33DC" w14:textId="77777777" w:rsidR="009B73DC" w:rsidRDefault="00BE3C7A" w:rsidP="00BE3C7A">
      <w:pPr>
        <w:pStyle w:val="Bodytext"/>
        <w:ind w:left="2552" w:firstLine="851"/>
        <w:jc w:val="center"/>
      </w:pPr>
      <m:oMath>
        <m:sSub>
          <m:sSubPr>
            <m:ctrlPr>
              <w:rPr>
                <w:rFonts w:ascii="Cambria Math" w:hAnsi="Cambria Math" w:cs="Times"/>
              </w:rPr>
            </m:ctrlPr>
          </m:sSubPr>
          <m:e>
            <m:r>
              <w:rPr>
                <w:rFonts w:ascii="Cambria Math" w:hAnsi="Cambria Math" w:cs="Times"/>
              </w:rPr>
              <m:t>P</m:t>
            </m:r>
          </m:e>
          <m:sub>
            <m:r>
              <w:rPr>
                <w:rFonts w:ascii="Cambria Math" w:hAnsi="Cambria Math" w:cs="Times"/>
              </w:rPr>
              <m:t>max</m:t>
            </m:r>
          </m:sub>
        </m:sSub>
        <m:r>
          <m:rPr>
            <m:sty m:val="p"/>
          </m:rPr>
          <w:rPr>
            <w:rFonts w:ascii="Cambria Math" w:hAnsi="Cambria Math" w:cs="Times"/>
          </w:rPr>
          <m:t>=</m:t>
        </m:r>
        <m:sSub>
          <m:sSubPr>
            <m:ctrlPr>
              <w:rPr>
                <w:rFonts w:ascii="Cambria Math" w:hAnsi="Cambria Math" w:cs="Times"/>
              </w:rPr>
            </m:ctrlPr>
          </m:sSubPr>
          <m:e>
            <m:r>
              <w:rPr>
                <w:rFonts w:ascii="Cambria Math" w:hAnsi="Cambria Math" w:cs="Times"/>
              </w:rPr>
              <m:t>V</m:t>
            </m:r>
          </m:e>
          <m:sub>
            <m:r>
              <w:rPr>
                <w:rFonts w:ascii="Cambria Math" w:hAnsi="Cambria Math" w:cs="Times"/>
              </w:rPr>
              <m:t>m</m:t>
            </m:r>
          </m:sub>
        </m:sSub>
        <m:r>
          <m:rPr>
            <m:sty m:val="p"/>
          </m:rPr>
          <w:rPr>
            <w:rFonts w:ascii="Cambria Math" w:hAnsi="Cambria Math" w:cs="Times"/>
          </w:rPr>
          <m:t>.</m:t>
        </m:r>
        <m:sSub>
          <m:sSubPr>
            <m:ctrlPr>
              <w:rPr>
                <w:rFonts w:ascii="Cambria Math" w:hAnsi="Cambria Math" w:cs="Times"/>
              </w:rPr>
            </m:ctrlPr>
          </m:sSubPr>
          <m:e>
            <m:r>
              <w:rPr>
                <w:rFonts w:ascii="Cambria Math" w:hAnsi="Cambria Math" w:cs="Times"/>
              </w:rPr>
              <m:t>I</m:t>
            </m:r>
          </m:e>
          <m:sub>
            <m:r>
              <w:rPr>
                <w:rFonts w:ascii="Cambria Math" w:hAnsi="Cambria Math" w:cs="Times"/>
              </w:rPr>
              <m:t>m</m:t>
            </m:r>
          </m:sub>
        </m:sSub>
      </m:oMath>
      <w:r w:rsidR="00044812">
        <w:tab/>
      </w:r>
      <w:r>
        <w:tab/>
      </w:r>
      <w:r>
        <w:tab/>
      </w:r>
      <w:r>
        <w:tab/>
      </w:r>
      <w:r>
        <w:tab/>
      </w:r>
      <w:r w:rsidR="00943151">
        <w:t>(1)</w:t>
      </w:r>
    </w:p>
    <w:p w14:paraId="04C145E2" w14:textId="77777777" w:rsidR="00BE3C7A" w:rsidRPr="00950A7D" w:rsidRDefault="00BE3C7A" w:rsidP="00950A7D">
      <w:pPr>
        <w:pStyle w:val="BodytextIndented"/>
        <w:ind w:firstLine="0"/>
        <w:rPr>
          <w:sz w:val="16"/>
          <w:szCs w:val="16"/>
        </w:rPr>
      </w:pPr>
    </w:p>
    <w:p w14:paraId="05A2A31B" w14:textId="77777777" w:rsidR="00044812" w:rsidRDefault="009B73DC" w:rsidP="00BE3C7A">
      <w:pPr>
        <w:pStyle w:val="BodytextIndented"/>
        <w:ind w:firstLine="0"/>
      </w:pPr>
      <w:r>
        <w:t xml:space="preserve">Where: </w:t>
      </w:r>
      <w:proofErr w:type="spellStart"/>
      <w:r w:rsidRPr="009B73DC">
        <w:rPr>
          <w:i/>
        </w:rPr>
        <w:t>P</w:t>
      </w:r>
      <w:r w:rsidRPr="009B73DC">
        <w:rPr>
          <w:vertAlign w:val="subscript"/>
        </w:rPr>
        <w:t>max</w:t>
      </w:r>
      <w:proofErr w:type="spellEnd"/>
      <w:r w:rsidR="00AD0BFF">
        <w:t xml:space="preserve"> is </w:t>
      </w:r>
      <w:r>
        <w:t>the maximum power</w:t>
      </w:r>
      <w:r w:rsidR="00D832D4">
        <w:t xml:space="preserve">; </w:t>
      </w:r>
      <w:proofErr w:type="spellStart"/>
      <w:r w:rsidRPr="009B73DC">
        <w:rPr>
          <w:i/>
        </w:rPr>
        <w:t>V</w:t>
      </w:r>
      <w:r w:rsidRPr="009B73DC">
        <w:rPr>
          <w:i/>
          <w:vertAlign w:val="subscript"/>
        </w:rPr>
        <w:t>m</w:t>
      </w:r>
      <w:proofErr w:type="spellEnd"/>
      <w:r w:rsidR="00BD0EF3">
        <w:t xml:space="preserve"> </w:t>
      </w:r>
      <w:r w:rsidR="00AD0BFF">
        <w:t>is</w:t>
      </w:r>
      <w:r w:rsidR="00BD0EF3">
        <w:t xml:space="preserve"> </w:t>
      </w:r>
      <w:r>
        <w:t>the maximum voltage</w:t>
      </w:r>
      <w:r w:rsidR="00AD0BFF">
        <w:t>;</w:t>
      </w:r>
      <w:r w:rsidR="00BE3C7A">
        <w:t xml:space="preserve"> </w:t>
      </w:r>
      <w:proofErr w:type="spellStart"/>
      <w:r w:rsidRPr="009B73DC">
        <w:rPr>
          <w:i/>
        </w:rPr>
        <w:t>I</w:t>
      </w:r>
      <w:r w:rsidRPr="009B73DC">
        <w:rPr>
          <w:i/>
          <w:vertAlign w:val="subscript"/>
        </w:rPr>
        <w:t>m</w:t>
      </w:r>
      <w:proofErr w:type="spellEnd"/>
      <w:r w:rsidR="00BD0EF3">
        <w:rPr>
          <w:i/>
          <w:vertAlign w:val="subscript"/>
        </w:rPr>
        <w:t xml:space="preserve"> </w:t>
      </w:r>
      <w:r w:rsidR="00AD0BFF">
        <w:t xml:space="preserve">is </w:t>
      </w:r>
      <w:r>
        <w:t>the maximum current</w:t>
      </w:r>
      <w:r w:rsidR="00CC0FB4">
        <w:t>.</w:t>
      </w:r>
      <w:r w:rsidR="00BE3C7A">
        <w:t xml:space="preserve">  </w:t>
      </w:r>
      <w:r w:rsidR="00044812">
        <w:t>Ene</w:t>
      </w:r>
      <w:r w:rsidR="00584C43">
        <w:t>rgy produced is generally given</w:t>
      </w:r>
      <w:r>
        <w:t xml:space="preserve"> </w:t>
      </w:r>
      <w:r w:rsidR="00BE3C7A">
        <w:t>by the relationship:</w:t>
      </w:r>
    </w:p>
    <w:p w14:paraId="4B57F888" w14:textId="77777777" w:rsidR="00BE3C7A" w:rsidRPr="00950A7D" w:rsidRDefault="00BE3C7A" w:rsidP="00BE3C7A">
      <w:pPr>
        <w:pStyle w:val="BodytextIndented"/>
        <w:ind w:firstLine="0"/>
        <w:rPr>
          <w:sz w:val="16"/>
          <w:szCs w:val="16"/>
        </w:rPr>
      </w:pPr>
    </w:p>
    <w:p w14:paraId="08E65C51" w14:textId="77777777" w:rsidR="00BD0EF3" w:rsidRDefault="00044812" w:rsidP="00BE3C7A">
      <w:pPr>
        <w:pStyle w:val="BodytextIndented"/>
        <w:ind w:left="2553" w:firstLine="851"/>
        <w:jc w:val="center"/>
      </w:pPr>
      <m:oMath>
        <m:r>
          <w:rPr>
            <w:rFonts w:ascii="Cambria Math" w:hAnsi="Cambria Math"/>
          </w:rPr>
          <m:t>E=Power . Time</m:t>
        </m:r>
      </m:oMath>
      <w:r>
        <w:tab/>
      </w:r>
      <w:r w:rsidR="009B73DC">
        <w:tab/>
      </w:r>
      <w:r w:rsidR="009B73DC">
        <w:tab/>
      </w:r>
      <w:r>
        <w:tab/>
      </w:r>
      <w:r>
        <w:tab/>
      </w:r>
      <w:r w:rsidR="00AD0BFF">
        <w:t>(2)</w:t>
      </w:r>
    </w:p>
    <w:p w14:paraId="087039EA" w14:textId="77777777" w:rsidR="00BE3C7A" w:rsidRPr="00950A7D" w:rsidRDefault="00BE3C7A" w:rsidP="00BE3C7A">
      <w:pPr>
        <w:pStyle w:val="BodytextIndented"/>
        <w:ind w:firstLine="0"/>
        <w:rPr>
          <w:sz w:val="16"/>
          <w:szCs w:val="16"/>
        </w:rPr>
      </w:pPr>
    </w:p>
    <w:p w14:paraId="546A791C" w14:textId="77777777" w:rsidR="00044812" w:rsidRDefault="00044812" w:rsidP="00BE3C7A">
      <w:pPr>
        <w:pStyle w:val="BodytextIndented"/>
        <w:ind w:firstLine="0"/>
      </w:pPr>
      <w:r>
        <w:t>The time can be the day’s length, month or year. The day’s length in terms of hours is given according to equation 3, [</w:t>
      </w:r>
      <w:r w:rsidR="00F87E67">
        <w:t>3</w:t>
      </w:r>
      <w:r>
        <w:t>].</w:t>
      </w:r>
    </w:p>
    <w:p w14:paraId="13B4FC5E" w14:textId="77777777" w:rsidR="009B73DC" w:rsidRDefault="00BE3C7A" w:rsidP="00BE3C7A">
      <w:pPr>
        <w:pStyle w:val="BodytextIndented"/>
        <w:ind w:left="2553" w:firstLine="851"/>
        <w:jc w:val="center"/>
      </w:pPr>
      <m:oMath>
        <m:sSub>
          <m:sSubPr>
            <m:ctrlPr>
              <w:rPr>
                <w:rFonts w:ascii="Cambria Math" w:hAnsi="Cambria Math" w:cs="Times"/>
                <w:i/>
              </w:rPr>
            </m:ctrlPr>
          </m:sSubPr>
          <m:e>
            <m:r>
              <w:rPr>
                <w:rFonts w:ascii="Cambria Math" w:hAnsi="Cambria Math" w:cs="Times"/>
              </w:rPr>
              <m:t>t</m:t>
            </m:r>
          </m:e>
          <m:sub>
            <m:r>
              <w:rPr>
                <w:rFonts w:ascii="Cambria Math" w:hAnsi="Cambria Math" w:cs="Times"/>
              </w:rPr>
              <m:t>d</m:t>
            </m:r>
          </m:sub>
        </m:sSub>
        <m:r>
          <w:rPr>
            <w:rFonts w:ascii="Cambria Math" w:hAnsi="Cambria Math" w:cs="Times"/>
          </w:rPr>
          <m:t>=</m:t>
        </m:r>
        <m:f>
          <m:fPr>
            <m:ctrlPr>
              <w:rPr>
                <w:rFonts w:ascii="Cambria Math" w:hAnsi="Cambria Math" w:cs="Times"/>
                <w:i/>
              </w:rPr>
            </m:ctrlPr>
          </m:fPr>
          <m:num>
            <m:r>
              <w:rPr>
                <w:rFonts w:ascii="Cambria Math" w:hAnsi="Cambria Math" w:cs="Times"/>
              </w:rPr>
              <m:t>2</m:t>
            </m:r>
          </m:num>
          <m:den>
            <m:r>
              <w:rPr>
                <w:rFonts w:ascii="Cambria Math" w:hAnsi="Cambria Math" w:cs="Times"/>
              </w:rPr>
              <m:t>15</m:t>
            </m:r>
          </m:den>
        </m:f>
        <m:sSup>
          <m:sSupPr>
            <m:ctrlPr>
              <w:rPr>
                <w:rFonts w:ascii="Cambria Math" w:hAnsi="Cambria Math" w:cs="Times"/>
                <w:i/>
              </w:rPr>
            </m:ctrlPr>
          </m:sSupPr>
          <m:e>
            <m:r>
              <w:rPr>
                <w:rFonts w:ascii="Cambria Math" w:hAnsi="Cambria Math" w:cs="Times"/>
              </w:rPr>
              <m:t>Cos</m:t>
            </m:r>
          </m:e>
          <m:sup>
            <m:r>
              <w:rPr>
                <w:rFonts w:ascii="Cambria Math" w:hAnsi="Cambria Math" w:cs="Times"/>
              </w:rPr>
              <m:t>-1</m:t>
            </m:r>
          </m:sup>
        </m:sSup>
        <m:d>
          <m:dPr>
            <m:ctrlPr>
              <w:rPr>
                <w:rFonts w:ascii="Cambria Math" w:hAnsi="Cambria Math" w:cs="Times"/>
                <w:i/>
              </w:rPr>
            </m:ctrlPr>
          </m:dPr>
          <m:e>
            <m:r>
              <m:rPr>
                <m:sty m:val="p"/>
              </m:rPr>
              <w:rPr>
                <w:rFonts w:ascii="Cambria Math" w:hAnsi="Cambria Math" w:cs="Times"/>
              </w:rPr>
              <m:t>tan⁡</m:t>
            </m:r>
            <m:r>
              <w:rPr>
                <w:rFonts w:ascii="Cambria Math" w:hAnsi="Cambria Math" w:cs="Times"/>
              </w:rPr>
              <m:t>(-∅).tanδ</m:t>
            </m:r>
          </m:e>
        </m:d>
      </m:oMath>
      <w:r w:rsidR="009B73DC">
        <w:tab/>
      </w:r>
      <w:r w:rsidR="009B73DC">
        <w:tab/>
      </w:r>
      <w:r w:rsidR="009B73DC">
        <w:tab/>
        <w:t>(3)</w:t>
      </w:r>
    </w:p>
    <w:p w14:paraId="214269C8" w14:textId="77777777" w:rsidR="00BE3C7A" w:rsidRDefault="00BE3C7A" w:rsidP="00BE3C7A">
      <w:pPr>
        <w:pStyle w:val="BodytextIndented"/>
        <w:ind w:left="2553" w:firstLine="851"/>
        <w:jc w:val="center"/>
      </w:pPr>
    </w:p>
    <w:p w14:paraId="0BE0EA03" w14:textId="77777777" w:rsidR="00C74234" w:rsidRDefault="001B6297" w:rsidP="00BE3C7A">
      <w:pPr>
        <w:pStyle w:val="BodytextIndented"/>
        <w:ind w:firstLine="0"/>
        <w:rPr>
          <w:rFonts w:cs="Times"/>
        </w:rPr>
      </w:pPr>
      <w:r>
        <w:t>Where</w:t>
      </w:r>
      <w:r w:rsidR="00AD0BFF">
        <w:t xml:space="preserve">; </w:t>
      </w:r>
      <w:r w:rsidR="009B73DC" w:rsidRPr="00BE3C7A">
        <w:rPr>
          <w:rFonts w:cs="Times"/>
          <w:i/>
        </w:rPr>
        <w:t>Ø</w:t>
      </w:r>
      <w:r w:rsidR="00BD0EF3">
        <w:t xml:space="preserve"> = </w:t>
      </w:r>
      <w:r w:rsidR="00AD0BFF">
        <w:t xml:space="preserve">the angle of latitude; </w:t>
      </w:r>
      <w:r w:rsidR="00AD0BFF" w:rsidRPr="00BE3C7A">
        <w:rPr>
          <w:rFonts w:cs="Times"/>
          <w:i/>
        </w:rPr>
        <w:t>δ</w:t>
      </w:r>
      <w:r w:rsidR="00AD0BFF">
        <w:rPr>
          <w:rFonts w:cs="Times"/>
        </w:rPr>
        <w:t xml:space="preserve"> is</w:t>
      </w:r>
      <w:r w:rsidR="00BD0EF3">
        <w:rPr>
          <w:rFonts w:cs="Times"/>
        </w:rPr>
        <w:t xml:space="preserve"> </w:t>
      </w:r>
      <w:r w:rsidR="009B73DC">
        <w:rPr>
          <w:rFonts w:cs="Times"/>
        </w:rPr>
        <w:t xml:space="preserve">the declination angle and can be calculated </w:t>
      </w:r>
      <w:r w:rsidR="00BD0EF3">
        <w:rPr>
          <w:rFonts w:cs="Times"/>
        </w:rPr>
        <w:t>from:</w:t>
      </w:r>
    </w:p>
    <w:p w14:paraId="4E7E2C16" w14:textId="77777777" w:rsidR="00AE7995" w:rsidRPr="00AE7995" w:rsidRDefault="00AE7995" w:rsidP="00BE3C7A">
      <w:pPr>
        <w:pStyle w:val="BodytextIndented"/>
        <w:ind w:firstLine="0"/>
        <w:rPr>
          <w:rFonts w:cs="Times"/>
          <w:sz w:val="16"/>
          <w:szCs w:val="16"/>
        </w:rPr>
      </w:pPr>
    </w:p>
    <w:p w14:paraId="596E2E45" w14:textId="77777777" w:rsidR="00BD0EF3" w:rsidRDefault="00A825EE" w:rsidP="00BE3C7A">
      <w:pPr>
        <w:pStyle w:val="BodytextIndented"/>
        <w:ind w:left="2553" w:firstLine="851"/>
        <w:jc w:val="center"/>
      </w:pPr>
      <m:oMath>
        <m:r>
          <w:rPr>
            <w:rFonts w:ascii="Cambria Math" w:hAnsi="Cambria Math"/>
          </w:rPr>
          <m:t>δ= -23.43</m:t>
        </m:r>
        <m:r>
          <w:rPr>
            <w:rFonts w:ascii="Cambria Math" w:hAnsi="Cambria Math" w:cs="Calibri"/>
          </w:rPr>
          <m:t>°</m:t>
        </m:r>
        <m:r>
          <w:rPr>
            <w:rFonts w:ascii="Cambria Math" w:hAnsi="Cambria Math"/>
          </w:rPr>
          <m:t xml:space="preserve"> Sin</m:t>
        </m:r>
        <m:d>
          <m:dPr>
            <m:begChr m:val="["/>
            <m:endChr m:val="]"/>
            <m:ctrlPr>
              <w:rPr>
                <w:rFonts w:ascii="Cambria Math" w:hAnsi="Cambria Math"/>
                <w:i/>
              </w:rPr>
            </m:ctrlPr>
          </m:dPr>
          <m:e>
            <m:f>
              <m:fPr>
                <m:ctrlPr>
                  <w:rPr>
                    <w:rFonts w:ascii="Cambria Math" w:hAnsi="Cambria Math"/>
                    <w:i/>
                  </w:rPr>
                </m:ctrlPr>
              </m:fPr>
              <m:num>
                <m:r>
                  <w:rPr>
                    <w:rFonts w:ascii="Cambria Math" w:hAnsi="Cambria Math"/>
                  </w:rPr>
                  <m:t>360</m:t>
                </m:r>
              </m:num>
              <m:den>
                <m:r>
                  <w:rPr>
                    <w:rFonts w:ascii="Cambria Math" w:hAnsi="Cambria Math"/>
                  </w:rPr>
                  <m:t>365</m:t>
                </m:r>
              </m:den>
            </m:f>
            <m:d>
              <m:dPr>
                <m:ctrlPr>
                  <w:rPr>
                    <w:rFonts w:ascii="Cambria Math" w:hAnsi="Cambria Math"/>
                    <w:i/>
                  </w:rPr>
                </m:ctrlPr>
              </m:dPr>
              <m:e>
                <m:r>
                  <w:rPr>
                    <w:rFonts w:ascii="Cambria Math" w:hAnsi="Cambria Math"/>
                  </w:rPr>
                  <m:t>n+284</m:t>
                </m:r>
              </m:e>
            </m:d>
          </m:e>
        </m:d>
      </m:oMath>
      <w:r>
        <w:tab/>
      </w:r>
      <w:r>
        <w:tab/>
      </w:r>
      <w:r>
        <w:tab/>
        <w:t>(4)</w:t>
      </w:r>
    </w:p>
    <w:p w14:paraId="72F1E494" w14:textId="77777777" w:rsidR="00A825EE" w:rsidRDefault="00A825EE" w:rsidP="00BE3C7A">
      <w:pPr>
        <w:pStyle w:val="BodytextIndented"/>
        <w:ind w:firstLine="0"/>
      </w:pPr>
      <w:r>
        <w:lastRenderedPageBreak/>
        <w:t>Where</w:t>
      </w:r>
      <w:r w:rsidR="00AD0BFF">
        <w:t>:</w:t>
      </w:r>
      <w:r w:rsidR="00C427C9">
        <w:t xml:space="preserve"> </w:t>
      </w:r>
      <w:r w:rsidR="00C427C9" w:rsidRPr="00BE3C7A">
        <w:rPr>
          <w:i/>
        </w:rPr>
        <w:t>n</w:t>
      </w:r>
      <w:r w:rsidR="00AD0BFF">
        <w:t xml:space="preserve"> is</w:t>
      </w:r>
      <w:r>
        <w:t xml:space="preserve"> the number of the day</w:t>
      </w:r>
      <w:r w:rsidR="001D2B7B">
        <w:t xml:space="preserve"> in the year</w:t>
      </w:r>
      <w:r w:rsidR="00AD0BFF">
        <w:t>.</w:t>
      </w:r>
      <w:r w:rsidR="00BE3C7A">
        <w:t xml:space="preserve">  </w:t>
      </w:r>
      <w:r w:rsidR="00C427C9">
        <w:t>The total energy produced per</w:t>
      </w:r>
      <w:r>
        <w:t xml:space="preserve"> m</w:t>
      </w:r>
      <w:r w:rsidRPr="00F87E67">
        <w:rPr>
          <w:vertAlign w:val="superscript"/>
        </w:rPr>
        <w:t>2</w:t>
      </w:r>
      <w:r>
        <w:t xml:space="preserve"> of the </w:t>
      </w:r>
      <w:r w:rsidR="00F87E67">
        <w:t>solar module for one day can be e</w:t>
      </w:r>
      <w:r w:rsidR="00BE3C7A">
        <w:t>stimated from the relationship:</w:t>
      </w:r>
    </w:p>
    <w:p w14:paraId="44DB07F6" w14:textId="77777777" w:rsidR="00BE3C7A" w:rsidRPr="00950A7D" w:rsidRDefault="00BE3C7A" w:rsidP="00BE3C7A">
      <w:pPr>
        <w:pStyle w:val="BodytextIndented"/>
        <w:ind w:firstLine="0"/>
        <w:rPr>
          <w:sz w:val="16"/>
          <w:szCs w:val="16"/>
        </w:rPr>
      </w:pPr>
    </w:p>
    <w:p w14:paraId="21CD4E7F" w14:textId="77777777" w:rsidR="001D2B7B" w:rsidRDefault="00BE3C7A" w:rsidP="00BE3C7A">
      <w:pPr>
        <w:pStyle w:val="BodytextIndented"/>
        <w:ind w:left="2553" w:firstLine="851"/>
        <w:jc w:val="cente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Area of module</m:t>
            </m:r>
          </m:den>
        </m:f>
      </m:oMath>
      <w:r w:rsidR="00356994">
        <w:tab/>
      </w:r>
      <w:r w:rsidR="00356994">
        <w:tab/>
      </w:r>
      <w:r w:rsidR="00356994">
        <w:tab/>
      </w:r>
      <w:r w:rsidR="00356994">
        <w:tab/>
        <w:t>(5)</w:t>
      </w:r>
    </w:p>
    <w:p w14:paraId="5C4927B7" w14:textId="77777777" w:rsidR="00BE3C7A" w:rsidRPr="00950A7D" w:rsidRDefault="00BE3C7A" w:rsidP="00950A7D">
      <w:pPr>
        <w:pStyle w:val="BodytextIndented"/>
        <w:ind w:firstLine="0"/>
        <w:rPr>
          <w:sz w:val="16"/>
          <w:szCs w:val="16"/>
        </w:rPr>
      </w:pPr>
    </w:p>
    <w:p w14:paraId="7D857F8D" w14:textId="59F99DF6" w:rsidR="00C74234" w:rsidRDefault="00A30506" w:rsidP="00BE3C7A">
      <w:pPr>
        <w:pStyle w:val="BodytextIndented"/>
        <w:ind w:firstLine="0"/>
      </w:pPr>
      <w:r>
        <w:t xml:space="preserve">To </w:t>
      </w:r>
      <w:r w:rsidRPr="00A30506">
        <w:rPr>
          <w:lang w:val="en-ZA"/>
        </w:rPr>
        <w:t>characterise</w:t>
      </w:r>
      <w:r w:rsidR="00CC0FB4">
        <w:t xml:space="preserve"> the performance of the</w:t>
      </w:r>
      <w:r>
        <w:t xml:space="preserve"> PV system the Inte</w:t>
      </w:r>
      <w:r w:rsidR="00BC209A">
        <w:t xml:space="preserve">rnational </w:t>
      </w:r>
      <w:r w:rsidR="00CC0FB4">
        <w:t>standard IEC</w:t>
      </w:r>
      <w:r w:rsidR="00BC209A">
        <w:t xml:space="preserve"> 61724 in</w:t>
      </w:r>
      <w:r>
        <w:t xml:space="preserve"> [</w:t>
      </w:r>
      <w:r w:rsidR="00DF06C7">
        <w:t>4</w:t>
      </w:r>
      <w:r>
        <w:t>] was used to calculate the performance ratio for the two modules M1 and M2</w:t>
      </w:r>
      <w:r w:rsidR="00AE192A">
        <w:t xml:space="preserve"> (PTS)</w:t>
      </w:r>
      <w:r>
        <w:t xml:space="preserve"> each day</w:t>
      </w:r>
      <w:r w:rsidR="00AE192A">
        <w:t xml:space="preserve"> of the month</w:t>
      </w:r>
      <w:r>
        <w:t>. The relationships use</w:t>
      </w:r>
      <w:r w:rsidR="001D2B7B">
        <w:t>d w</w:t>
      </w:r>
      <w:r w:rsidR="00BE3C7A">
        <w:t>ere:</w:t>
      </w:r>
    </w:p>
    <w:p w14:paraId="057B4FE5" w14:textId="77777777" w:rsidR="00BE3C7A" w:rsidRPr="00950A7D" w:rsidRDefault="00BE3C7A" w:rsidP="00BE3C7A">
      <w:pPr>
        <w:pStyle w:val="BodytextIndented"/>
        <w:ind w:firstLine="0"/>
        <w:rPr>
          <w:sz w:val="16"/>
          <w:szCs w:val="16"/>
        </w:rPr>
      </w:pPr>
    </w:p>
    <w:p w14:paraId="66B4A77B" w14:textId="77777777" w:rsidR="00C74234" w:rsidRDefault="00BE3C7A" w:rsidP="00BE3C7A">
      <w:pPr>
        <w:pStyle w:val="BodytextIndented"/>
        <w:ind w:left="2835" w:firstLine="0"/>
        <w:jc w:val="center"/>
      </w:pPr>
      <m:oMath>
        <m:sSub>
          <m:sSubPr>
            <m:ctrlPr>
              <w:rPr>
                <w:rFonts w:ascii="Cambria Math" w:hAnsi="Cambria Math"/>
                <w:i/>
              </w:rPr>
            </m:ctrlPr>
          </m:sSubPr>
          <m:e>
            <m:r>
              <w:rPr>
                <w:rFonts w:ascii="Cambria Math" w:hAnsi="Cambria Math"/>
              </w:rPr>
              <m:t>Y</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P</m:t>
                </m:r>
              </m:e>
              <m:sub>
                <m:r>
                  <w:rPr>
                    <w:rFonts w:ascii="Cambria Math" w:hAnsi="Cambria Math"/>
                  </w:rPr>
                  <m:t>o</m:t>
                </m:r>
              </m:sub>
            </m:sSub>
          </m:den>
        </m:f>
      </m:oMath>
      <w:r w:rsidR="00A30506">
        <w:t xml:space="preserve">; </w:t>
      </w:r>
      <m:oMath>
        <m:sSub>
          <m:sSubPr>
            <m:ctrlPr>
              <w:rPr>
                <w:rFonts w:ascii="Cambria Math" w:hAnsi="Cambria Math"/>
                <w:i/>
              </w:rPr>
            </m:ctrlPr>
          </m:sSubPr>
          <m:e>
            <m:r>
              <w:rPr>
                <w:rFonts w:ascii="Cambria Math" w:hAnsi="Cambria Math"/>
              </w:rPr>
              <m:t>Y</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G</m:t>
            </m:r>
          </m:den>
        </m:f>
      </m:oMath>
      <w:r>
        <w:t xml:space="preserve">; </w:t>
      </w:r>
      <w:r w:rsidR="00A30506">
        <w:t xml:space="preserve">and </w:t>
      </w:r>
      <m:oMath>
        <m:r>
          <w:rPr>
            <w:rFonts w:ascii="Cambria Math" w:hAnsi="Cambria Math"/>
          </w:rPr>
          <m:t>Performance Ratio=</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f</m:t>
                </m:r>
              </m:sub>
            </m:sSub>
          </m:num>
          <m:den>
            <m:sSub>
              <m:sSubPr>
                <m:ctrlPr>
                  <w:rPr>
                    <w:rFonts w:ascii="Cambria Math" w:hAnsi="Cambria Math"/>
                    <w:i/>
                  </w:rPr>
                </m:ctrlPr>
              </m:sSubPr>
              <m:e>
                <m:r>
                  <w:rPr>
                    <w:rFonts w:ascii="Cambria Math" w:hAnsi="Cambria Math"/>
                  </w:rPr>
                  <m:t>Y</m:t>
                </m:r>
              </m:e>
              <m:sub>
                <m:r>
                  <w:rPr>
                    <w:rFonts w:ascii="Cambria Math" w:hAnsi="Cambria Math"/>
                  </w:rPr>
                  <m:t>r</m:t>
                </m:r>
              </m:sub>
            </m:sSub>
          </m:den>
        </m:f>
      </m:oMath>
      <w:r>
        <w:tab/>
      </w:r>
      <w:r w:rsidR="00C427C9">
        <w:t>(6</w:t>
      </w:r>
      <w:r w:rsidR="00CE0736">
        <w:t>)</w:t>
      </w:r>
    </w:p>
    <w:p w14:paraId="3B8A08BA" w14:textId="77777777" w:rsidR="00AD0BFF" w:rsidRPr="00950A7D" w:rsidRDefault="00AD0BFF" w:rsidP="00BE3C7A">
      <w:pPr>
        <w:pStyle w:val="BodytextIndented"/>
        <w:ind w:firstLine="0"/>
        <w:rPr>
          <w:sz w:val="16"/>
          <w:szCs w:val="16"/>
        </w:rPr>
      </w:pPr>
    </w:p>
    <w:p w14:paraId="397DA8C1" w14:textId="77777777" w:rsidR="009F0CB8" w:rsidRDefault="00A30506" w:rsidP="00BE3C7A">
      <w:pPr>
        <w:pStyle w:val="BodytextIndented"/>
        <w:ind w:firstLine="0"/>
      </w:pPr>
      <w:r>
        <w:t>Where:</w:t>
      </w:r>
      <w:r w:rsidR="00567102">
        <w:t xml:space="preserve"> </w:t>
      </w:r>
      <w:proofErr w:type="spellStart"/>
      <w:r w:rsidRPr="00567102">
        <w:rPr>
          <w:i/>
        </w:rPr>
        <w:t>Y</w:t>
      </w:r>
      <w:r w:rsidRPr="00567102">
        <w:rPr>
          <w:i/>
          <w:vertAlign w:val="subscript"/>
        </w:rPr>
        <w:t>f</w:t>
      </w:r>
      <w:proofErr w:type="spellEnd"/>
      <w:r>
        <w:t xml:space="preserve"> is </w:t>
      </w:r>
      <w:r w:rsidR="00873B19">
        <w:t>the final yield;</w:t>
      </w:r>
      <w:r>
        <w:t xml:space="preserve"> </w:t>
      </w:r>
      <w:r w:rsidRPr="00567102">
        <w:rPr>
          <w:i/>
        </w:rPr>
        <w:t>E</w:t>
      </w:r>
      <w:r w:rsidR="009D3AE4">
        <w:t xml:space="preserve"> is the e</w:t>
      </w:r>
      <w:r w:rsidR="00873B19">
        <w:t>nergy produced by the PV system;</w:t>
      </w:r>
      <w:r w:rsidR="009D3AE4">
        <w:t xml:space="preserve"> </w:t>
      </w:r>
      <w:r w:rsidR="009D3AE4" w:rsidRPr="00567102">
        <w:rPr>
          <w:i/>
        </w:rPr>
        <w:t>P</w:t>
      </w:r>
      <w:r w:rsidR="009D3AE4" w:rsidRPr="00567102">
        <w:rPr>
          <w:i/>
          <w:vertAlign w:val="subscript"/>
        </w:rPr>
        <w:t>o</w:t>
      </w:r>
      <w:r w:rsidR="00873B19">
        <w:t xml:space="preserve"> is the installed</w:t>
      </w:r>
      <w:r w:rsidR="00C74234">
        <w:t>/rated</w:t>
      </w:r>
      <w:r w:rsidR="00873B19">
        <w:t xml:space="preserve"> peak power;</w:t>
      </w:r>
      <w:r w:rsidR="009D3AE4">
        <w:t xml:space="preserve"> </w:t>
      </w:r>
      <w:proofErr w:type="spellStart"/>
      <w:r w:rsidR="009D3AE4" w:rsidRPr="00567102">
        <w:rPr>
          <w:i/>
        </w:rPr>
        <w:t>Y</w:t>
      </w:r>
      <w:r w:rsidR="009D3AE4" w:rsidRPr="00567102">
        <w:rPr>
          <w:i/>
          <w:vertAlign w:val="subscript"/>
        </w:rPr>
        <w:t>r</w:t>
      </w:r>
      <w:proofErr w:type="spellEnd"/>
      <w:r w:rsidR="009D3AE4">
        <w:t xml:space="preserve"> is the </w:t>
      </w:r>
      <w:r w:rsidR="00873B19">
        <w:t>reference yield</w:t>
      </w:r>
      <w:r w:rsidR="00892BBB">
        <w:t xml:space="preserve">; </w:t>
      </w:r>
      <w:r w:rsidR="00892BBB" w:rsidRPr="00567102">
        <w:rPr>
          <w:i/>
        </w:rPr>
        <w:t>H</w:t>
      </w:r>
      <w:r w:rsidR="00892BBB">
        <w:t xml:space="preserve"> is the </w:t>
      </w:r>
      <w:r w:rsidR="009D3AE4">
        <w:t xml:space="preserve">plane </w:t>
      </w:r>
      <w:r w:rsidR="00892BBB">
        <w:t xml:space="preserve">of array </w:t>
      </w:r>
      <w:r w:rsidR="009D3AE4">
        <w:t xml:space="preserve">irradiance; and </w:t>
      </w:r>
      <w:r w:rsidR="009D3AE4" w:rsidRPr="00567102">
        <w:rPr>
          <w:i/>
        </w:rPr>
        <w:t>G</w:t>
      </w:r>
      <w:r w:rsidR="009D3AE4">
        <w:t xml:space="preserve"> is the STC </w:t>
      </w:r>
      <w:r w:rsidR="00567102">
        <w:t>irradiance.</w:t>
      </w:r>
    </w:p>
    <w:p w14:paraId="24BFBE25" w14:textId="77777777" w:rsidR="00567102" w:rsidRPr="00F87E67" w:rsidRDefault="00567102" w:rsidP="00BE3C7A">
      <w:pPr>
        <w:pStyle w:val="BodytextIndented"/>
        <w:ind w:firstLine="0"/>
      </w:pPr>
    </w:p>
    <w:p w14:paraId="6AEE5699" w14:textId="77777777" w:rsidR="00C74234" w:rsidRPr="00567102" w:rsidRDefault="00FB6A28" w:rsidP="00BE3C7A">
      <w:pPr>
        <w:pStyle w:val="Subsection"/>
        <w:numPr>
          <w:ilvl w:val="1"/>
          <w:numId w:val="5"/>
        </w:numPr>
        <w:spacing w:before="0"/>
        <w:rPr>
          <w:b/>
          <w:bCs/>
          <w:i/>
          <w:lang w:val="en-US"/>
        </w:rPr>
      </w:pPr>
      <w:r w:rsidRPr="00567102">
        <w:rPr>
          <w:b/>
          <w:bCs/>
          <w:i/>
          <w:lang w:val="en-US"/>
        </w:rPr>
        <w:t>Efficiency of a cell</w:t>
      </w:r>
    </w:p>
    <w:p w14:paraId="547D1E85" w14:textId="70D424A9" w:rsidR="002E03BB" w:rsidRDefault="002E03BB" w:rsidP="00BE3C7A">
      <w:pPr>
        <w:pStyle w:val="Bodytext"/>
      </w:pPr>
      <w:r w:rsidRPr="002E03BB">
        <w:t xml:space="preserve">The efficiency of a cell is defined as the ratio of energy output from the solar cell to input energy from the sun. This has been found to depend on the spectrum and intensity of the incident sunlight as well as the </w:t>
      </w:r>
      <w:r w:rsidR="00D832D4">
        <w:t>temperature of the solar cell [</w:t>
      </w:r>
      <w:r w:rsidR="00DF06C7">
        <w:t>5</w:t>
      </w:r>
      <w:r w:rsidRPr="002E03BB">
        <w:t xml:space="preserve">]. The </w:t>
      </w:r>
      <w:r>
        <w:t xml:space="preserve">electric </w:t>
      </w:r>
      <w:r w:rsidR="00813DBC">
        <w:t xml:space="preserve">conversion </w:t>
      </w:r>
      <w:r w:rsidRPr="002E03BB">
        <w:t>efficiency of a solar cell is determined as the fraction of incident power</w:t>
      </w:r>
      <w:r w:rsidR="00567102">
        <w:t>,</w:t>
      </w:r>
      <w:r w:rsidRPr="002E03BB">
        <w:t xml:space="preserve"> which is converted to electricity and is defined as:</w:t>
      </w:r>
    </w:p>
    <w:p w14:paraId="5F08C6BB" w14:textId="77777777" w:rsidR="00567102" w:rsidRPr="00950A7D" w:rsidRDefault="00567102" w:rsidP="00567102">
      <w:pPr>
        <w:pStyle w:val="BodytextIndented"/>
        <w:ind w:firstLine="0"/>
        <w:rPr>
          <w:sz w:val="16"/>
          <w:szCs w:val="16"/>
        </w:rPr>
      </w:pPr>
    </w:p>
    <w:p w14:paraId="6EBCDBC8" w14:textId="77777777" w:rsidR="002E03BB" w:rsidRDefault="00567102" w:rsidP="00BE3C7A">
      <w:pPr>
        <w:pStyle w:val="Bodytext"/>
        <w:ind w:left="3404"/>
        <w:jc w:val="center"/>
      </w:pPr>
      <m:oMath>
        <m:r>
          <w:rPr>
            <w:rFonts w:ascii="Cambria Math" w:hAnsi="Cambria Math"/>
          </w:rPr>
          <m:t>η</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out</m:t>
                </m:r>
              </m:sub>
            </m:sSub>
          </m:num>
          <m:den>
            <m:sSub>
              <m:sSubPr>
                <m:ctrlPr>
                  <w:rPr>
                    <w:rFonts w:ascii="Cambria Math" w:hAnsi="Cambria Math"/>
                    <w:i/>
                  </w:rPr>
                </m:ctrlPr>
              </m:sSubPr>
              <m:e>
                <m:r>
                  <w:rPr>
                    <w:rFonts w:ascii="Cambria Math" w:hAnsi="Cambria Math"/>
                  </w:rPr>
                  <m:t>P</m:t>
                </m:r>
              </m:e>
              <m:sub>
                <m:r>
                  <w:rPr>
                    <w:rFonts w:ascii="Cambria Math" w:hAnsi="Cambria Math"/>
                  </w:rPr>
                  <m:t>in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num>
          <m:den>
            <m:r>
              <w:rPr>
                <w:rFonts w:ascii="Cambria Math" w:hAnsi="Cambria Math"/>
              </w:rPr>
              <m:t>G</m:t>
            </m:r>
            <m:sSub>
              <m:sSubPr>
                <m:ctrlPr>
                  <w:rPr>
                    <w:rFonts w:ascii="Cambria Math" w:hAnsi="Cambria Math"/>
                    <w:i/>
                  </w:rPr>
                </m:ctrlPr>
              </m:sSubPr>
              <m:e>
                <m:r>
                  <w:rPr>
                    <w:rFonts w:ascii="Cambria Math" w:hAnsi="Cambria Math"/>
                  </w:rPr>
                  <m:t>A</m:t>
                </m:r>
              </m:e>
              <m:sub>
                <m:r>
                  <w:rPr>
                    <w:rFonts w:ascii="Cambria Math" w:hAnsi="Cambria Math"/>
                  </w:rPr>
                  <m:t>cell</m:t>
                </m:r>
              </m:sub>
            </m:sSub>
          </m:den>
        </m:f>
      </m:oMath>
      <w:r w:rsidR="002E03BB">
        <w:tab/>
      </w:r>
      <w:r w:rsidR="002E03BB">
        <w:tab/>
      </w:r>
      <w:r w:rsidR="002E03BB">
        <w:tab/>
      </w:r>
      <w:r w:rsidR="002E03BB">
        <w:tab/>
      </w:r>
      <w:r>
        <w:tab/>
      </w:r>
      <w:r w:rsidR="00C427C9">
        <w:t>(7</w:t>
      </w:r>
      <w:r w:rsidR="002E03BB" w:rsidRPr="002E03BB">
        <w:t>)</w:t>
      </w:r>
    </w:p>
    <w:p w14:paraId="5E487E6B" w14:textId="77777777" w:rsidR="00567102" w:rsidRPr="00950A7D" w:rsidRDefault="00567102" w:rsidP="00950A7D">
      <w:pPr>
        <w:pStyle w:val="BodytextIndented"/>
        <w:ind w:firstLine="0"/>
        <w:rPr>
          <w:sz w:val="16"/>
          <w:szCs w:val="16"/>
        </w:rPr>
      </w:pPr>
    </w:p>
    <w:p w14:paraId="1E26A4F7" w14:textId="77777777" w:rsidR="004F2FFA" w:rsidRDefault="00AD0BFF" w:rsidP="00BE3C7A">
      <w:pPr>
        <w:pStyle w:val="BodytextIndented"/>
        <w:ind w:firstLine="0"/>
      </w:pPr>
      <w:r>
        <w:t>Where:</w:t>
      </w:r>
      <w:r w:rsidR="00567102">
        <w:t xml:space="preserve"> </w:t>
      </w:r>
      <w:proofErr w:type="spellStart"/>
      <w:r w:rsidR="00F11D92" w:rsidRPr="00567102">
        <w:rPr>
          <w:i/>
        </w:rPr>
        <w:t>A</w:t>
      </w:r>
      <w:r w:rsidR="00F11D92" w:rsidRPr="00F11D92">
        <w:rPr>
          <w:i/>
          <w:vertAlign w:val="subscript"/>
        </w:rPr>
        <w:t>cell</w:t>
      </w:r>
      <w:proofErr w:type="spellEnd"/>
      <w:r>
        <w:t xml:space="preserve"> is</w:t>
      </w:r>
      <w:r w:rsidR="00F11D92">
        <w:t xml:space="preserve"> the area of the cell or module (m</w:t>
      </w:r>
      <w:r w:rsidR="00F11D92" w:rsidRPr="00F11D92">
        <w:rPr>
          <w:vertAlign w:val="superscript"/>
        </w:rPr>
        <w:t>2</w:t>
      </w:r>
      <w:r w:rsidR="00F11D92">
        <w:t>)</w:t>
      </w:r>
    </w:p>
    <w:p w14:paraId="4B936641" w14:textId="77777777" w:rsidR="00567102" w:rsidRDefault="00567102" w:rsidP="00BE3C7A">
      <w:pPr>
        <w:pStyle w:val="BodytextIndented"/>
        <w:ind w:firstLine="0"/>
      </w:pPr>
    </w:p>
    <w:p w14:paraId="70C6B33D" w14:textId="77777777" w:rsidR="004F2FFA" w:rsidRPr="00192F42" w:rsidRDefault="004F2FFA" w:rsidP="00567102">
      <w:pPr>
        <w:pStyle w:val="Section"/>
        <w:numPr>
          <w:ilvl w:val="0"/>
          <w:numId w:val="5"/>
        </w:numPr>
        <w:spacing w:before="0"/>
        <w:ind w:left="567" w:hanging="567"/>
      </w:pPr>
      <w:r w:rsidRPr="00192F42">
        <w:t>Experimental Method</w:t>
      </w:r>
    </w:p>
    <w:p w14:paraId="11D70D05" w14:textId="77777777" w:rsidR="00FE0913" w:rsidRDefault="004F2FFA" w:rsidP="00BE3C7A">
      <w:pPr>
        <w:pStyle w:val="BodytextIndented"/>
        <w:ind w:firstLine="0"/>
        <w:rPr>
          <w:lang w:val="en-ZA"/>
        </w:rPr>
      </w:pPr>
      <w:r>
        <w:t>The system used for the study consisted of two SW80 PV modules</w:t>
      </w:r>
      <w:r w:rsidR="00192F42">
        <w:t xml:space="preserve"> each with an area of 0.719</w:t>
      </w:r>
      <w:r w:rsidR="001D2B7B">
        <w:t xml:space="preserve"> </w:t>
      </w:r>
      <w:r w:rsidR="00192F42">
        <w:t>m</w:t>
      </w:r>
      <w:r w:rsidR="00192F42" w:rsidRPr="001D2B7B">
        <w:rPr>
          <w:vertAlign w:val="superscript"/>
        </w:rPr>
        <w:t>2</w:t>
      </w:r>
      <w:r w:rsidR="00192F42">
        <w:t xml:space="preserve"> and 36 cells in series connection. </w:t>
      </w:r>
      <w:r w:rsidR="00892BBB">
        <w:t>One</w:t>
      </w:r>
      <w:r w:rsidR="00D34FEC">
        <w:t xml:space="preserve"> module, M</w:t>
      </w:r>
      <w:r w:rsidR="00D34FEC" w:rsidRPr="00A54EDA">
        <w:rPr>
          <w:vertAlign w:val="subscript"/>
        </w:rPr>
        <w:t>1</w:t>
      </w:r>
      <w:r w:rsidR="00892BBB">
        <w:t xml:space="preserve"> was naturally cooled </w:t>
      </w:r>
      <w:r w:rsidR="00D34FEC">
        <w:t xml:space="preserve">by air and used as a control </w:t>
      </w:r>
      <w:r w:rsidR="00892BBB">
        <w:t xml:space="preserve">and the other </w:t>
      </w:r>
      <w:r w:rsidR="00D34FEC">
        <w:t>M</w:t>
      </w:r>
      <w:r w:rsidR="00D34FEC" w:rsidRPr="00A54EDA">
        <w:rPr>
          <w:vertAlign w:val="subscript"/>
        </w:rPr>
        <w:t>2</w:t>
      </w:r>
      <w:r w:rsidR="00D34FEC">
        <w:t xml:space="preserve"> </w:t>
      </w:r>
      <w:r w:rsidR="00892BBB">
        <w:t>was cooled</w:t>
      </w:r>
      <w:r w:rsidR="00D34FEC">
        <w:t xml:space="preserve"> by water in direct contact with the back of the module. </w:t>
      </w:r>
      <w:r w:rsidR="00892BBB">
        <w:t xml:space="preserve"> </w:t>
      </w:r>
      <w:r w:rsidR="00192F42">
        <w:t xml:space="preserve">Table 1 shows the two modules’ </w:t>
      </w:r>
      <w:r w:rsidR="00C2565F">
        <w:t xml:space="preserve">rated </w:t>
      </w:r>
      <w:r w:rsidR="00192F42">
        <w:t>performance under STC</w:t>
      </w:r>
      <w:r w:rsidR="00567102">
        <w:t xml:space="preserve"> (</w:t>
      </w:r>
      <w:r w:rsidR="00192F42" w:rsidRPr="00192F42">
        <w:rPr>
          <w:lang w:val="en-ZA"/>
        </w:rPr>
        <w:t>1000W/m</w:t>
      </w:r>
      <w:r w:rsidR="00192F42" w:rsidRPr="00892BBB">
        <w:rPr>
          <w:vertAlign w:val="superscript"/>
          <w:lang w:val="en-ZA"/>
        </w:rPr>
        <w:t>2</w:t>
      </w:r>
      <w:r w:rsidR="00192F42" w:rsidRPr="00192F42">
        <w:rPr>
          <w:lang w:val="en-ZA"/>
        </w:rPr>
        <w:t>, 25°C, AM 1.5</w:t>
      </w:r>
      <w:r w:rsidR="00567102">
        <w:rPr>
          <w:lang w:val="en-ZA"/>
        </w:rPr>
        <w:t>).</w:t>
      </w:r>
    </w:p>
    <w:p w14:paraId="021B34FD" w14:textId="77777777" w:rsidR="00567102" w:rsidRDefault="00567102" w:rsidP="00BE3C7A">
      <w:pPr>
        <w:pStyle w:val="BodytextIndented"/>
        <w:ind w:firstLine="0"/>
        <w:rPr>
          <w:lang w:val="en-Z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315"/>
        <w:gridCol w:w="2597"/>
        <w:gridCol w:w="90"/>
      </w:tblGrid>
      <w:tr w:rsidR="009A7D28" w:rsidRPr="009A7D28" w14:paraId="07BAAE15" w14:textId="77777777" w:rsidTr="008C6A29">
        <w:trPr>
          <w:trHeight w:val="267"/>
        </w:trPr>
        <w:tc>
          <w:tcPr>
            <w:tcW w:w="8924" w:type="dxa"/>
            <w:gridSpan w:val="4"/>
            <w:tcBorders>
              <w:bottom w:val="single" w:sz="4" w:space="0" w:color="auto"/>
            </w:tcBorders>
          </w:tcPr>
          <w:p w14:paraId="68CC7BEA" w14:textId="77777777" w:rsidR="009A7D28" w:rsidRPr="009A7D28" w:rsidRDefault="009A7D28" w:rsidP="00567102">
            <w:pPr>
              <w:pStyle w:val="BodytextIndented"/>
              <w:ind w:left="-108" w:firstLine="0"/>
            </w:pPr>
            <w:r w:rsidRPr="008C6A29">
              <w:rPr>
                <w:i/>
                <w:lang w:val="en-GB"/>
              </w:rPr>
              <w:t>Table1</w:t>
            </w:r>
            <w:r w:rsidR="008C6A29">
              <w:rPr>
                <w:lang w:val="en-GB"/>
              </w:rPr>
              <w:t xml:space="preserve">:  </w:t>
            </w:r>
            <w:r w:rsidRPr="008C6A29">
              <w:rPr>
                <w:lang w:val="en-GB"/>
              </w:rPr>
              <w:t>The</w:t>
            </w:r>
            <w:r w:rsidRPr="009A7D28">
              <w:rPr>
                <w:lang w:val="en-GB"/>
              </w:rPr>
              <w:t xml:space="preserve"> SW80 Poly/RIA corresponding rated STC values</w:t>
            </w:r>
          </w:p>
        </w:tc>
      </w:tr>
      <w:tr w:rsidR="00E02533" w:rsidRPr="00AF5F80" w14:paraId="75598BBC" w14:textId="77777777" w:rsidTr="008C6A29">
        <w:trPr>
          <w:gridAfter w:val="1"/>
          <w:wAfter w:w="90" w:type="dxa"/>
          <w:trHeight w:val="267"/>
        </w:trPr>
        <w:tc>
          <w:tcPr>
            <w:tcW w:w="2922" w:type="dxa"/>
            <w:tcBorders>
              <w:top w:val="single" w:sz="4" w:space="0" w:color="auto"/>
              <w:bottom w:val="single" w:sz="4" w:space="0" w:color="auto"/>
            </w:tcBorders>
          </w:tcPr>
          <w:p w14:paraId="1FB51F97" w14:textId="77777777" w:rsidR="00E02533" w:rsidRPr="00AF5F80" w:rsidRDefault="00E02533" w:rsidP="00567102">
            <w:pPr>
              <w:pStyle w:val="BodytextIndented"/>
              <w:ind w:left="-108" w:firstLine="0"/>
              <w:rPr>
                <w:b/>
              </w:rPr>
            </w:pPr>
            <w:r w:rsidRPr="00AF5F80">
              <w:rPr>
                <w:b/>
              </w:rPr>
              <w:t>Quantity</w:t>
            </w:r>
          </w:p>
        </w:tc>
        <w:tc>
          <w:tcPr>
            <w:tcW w:w="3315" w:type="dxa"/>
            <w:tcBorders>
              <w:top w:val="single" w:sz="4" w:space="0" w:color="auto"/>
              <w:bottom w:val="single" w:sz="4" w:space="0" w:color="auto"/>
            </w:tcBorders>
          </w:tcPr>
          <w:p w14:paraId="0289B408" w14:textId="77777777" w:rsidR="00E02533" w:rsidRPr="00AF5F80" w:rsidRDefault="00E02533" w:rsidP="00BE3C7A">
            <w:pPr>
              <w:pStyle w:val="BodytextIndented"/>
              <w:ind w:firstLine="0"/>
              <w:jc w:val="center"/>
              <w:rPr>
                <w:b/>
              </w:rPr>
            </w:pPr>
            <w:r w:rsidRPr="00AF5F80">
              <w:rPr>
                <w:b/>
              </w:rPr>
              <w:t>Units</w:t>
            </w:r>
          </w:p>
        </w:tc>
        <w:tc>
          <w:tcPr>
            <w:tcW w:w="2597" w:type="dxa"/>
            <w:tcBorders>
              <w:top w:val="single" w:sz="4" w:space="0" w:color="auto"/>
              <w:bottom w:val="single" w:sz="4" w:space="0" w:color="auto"/>
            </w:tcBorders>
          </w:tcPr>
          <w:p w14:paraId="77CC5804" w14:textId="77777777" w:rsidR="00E02533" w:rsidRPr="00AF5F80" w:rsidRDefault="00E02533" w:rsidP="00567102">
            <w:pPr>
              <w:pStyle w:val="BodytextIndented"/>
              <w:ind w:firstLine="0"/>
              <w:jc w:val="right"/>
              <w:rPr>
                <w:b/>
              </w:rPr>
            </w:pPr>
            <w:r w:rsidRPr="00AF5F80">
              <w:rPr>
                <w:b/>
              </w:rPr>
              <w:t>STC Value</w:t>
            </w:r>
          </w:p>
        </w:tc>
      </w:tr>
      <w:tr w:rsidR="00E02533" w:rsidRPr="00FE0913" w14:paraId="1B83430C" w14:textId="77777777" w:rsidTr="008C6A29">
        <w:trPr>
          <w:gridAfter w:val="1"/>
          <w:wAfter w:w="90" w:type="dxa"/>
          <w:trHeight w:val="252"/>
        </w:trPr>
        <w:tc>
          <w:tcPr>
            <w:tcW w:w="2922" w:type="dxa"/>
            <w:tcBorders>
              <w:top w:val="single" w:sz="4" w:space="0" w:color="auto"/>
            </w:tcBorders>
            <w:hideMark/>
          </w:tcPr>
          <w:p w14:paraId="0752AD00" w14:textId="77777777" w:rsidR="00E02533" w:rsidRPr="00FE0913" w:rsidRDefault="00567102" w:rsidP="00567102">
            <w:pPr>
              <w:pStyle w:val="BodytextIndented"/>
              <w:ind w:left="-108" w:firstLine="0"/>
            </w:pPr>
            <w:r>
              <w:t xml:space="preserve">Short circuit current, </w:t>
            </w:r>
            <w:proofErr w:type="spellStart"/>
            <w:r w:rsidR="00E02533" w:rsidRPr="00567102">
              <w:rPr>
                <w:i/>
              </w:rPr>
              <w:t>I</w:t>
            </w:r>
            <w:r w:rsidR="00E02533" w:rsidRPr="00567102">
              <w:rPr>
                <w:i/>
                <w:vertAlign w:val="subscript"/>
              </w:rPr>
              <w:t>sc</w:t>
            </w:r>
            <w:proofErr w:type="spellEnd"/>
          </w:p>
        </w:tc>
        <w:tc>
          <w:tcPr>
            <w:tcW w:w="3315" w:type="dxa"/>
            <w:tcBorders>
              <w:top w:val="single" w:sz="4" w:space="0" w:color="auto"/>
            </w:tcBorders>
          </w:tcPr>
          <w:p w14:paraId="09C39CAA" w14:textId="77777777" w:rsidR="00E02533" w:rsidRPr="00FE0913" w:rsidRDefault="00634D65" w:rsidP="00BE3C7A">
            <w:pPr>
              <w:pStyle w:val="BodytextIndented"/>
              <w:ind w:firstLine="0"/>
              <w:jc w:val="center"/>
            </w:pPr>
            <w:r>
              <w:t>A</w:t>
            </w:r>
          </w:p>
        </w:tc>
        <w:tc>
          <w:tcPr>
            <w:tcW w:w="2597" w:type="dxa"/>
            <w:tcBorders>
              <w:top w:val="single" w:sz="4" w:space="0" w:color="auto"/>
            </w:tcBorders>
            <w:hideMark/>
          </w:tcPr>
          <w:p w14:paraId="305DDA0F" w14:textId="77777777" w:rsidR="00E02533" w:rsidRPr="00FE0913" w:rsidRDefault="00E02533" w:rsidP="00567102">
            <w:pPr>
              <w:pStyle w:val="BodytextIndented"/>
              <w:ind w:firstLine="0"/>
              <w:jc w:val="right"/>
            </w:pPr>
            <w:r w:rsidRPr="00FE0913">
              <w:t>4.42</w:t>
            </w:r>
          </w:p>
        </w:tc>
      </w:tr>
      <w:tr w:rsidR="00E02533" w:rsidRPr="00FE0913" w14:paraId="0EF30187" w14:textId="77777777" w:rsidTr="008C6A29">
        <w:trPr>
          <w:gridAfter w:val="1"/>
          <w:wAfter w:w="90" w:type="dxa"/>
          <w:trHeight w:val="267"/>
        </w:trPr>
        <w:tc>
          <w:tcPr>
            <w:tcW w:w="2922" w:type="dxa"/>
            <w:hideMark/>
          </w:tcPr>
          <w:p w14:paraId="15AFF5C9" w14:textId="77777777" w:rsidR="00E02533" w:rsidRPr="00FE0913" w:rsidRDefault="00567102" w:rsidP="00567102">
            <w:pPr>
              <w:pStyle w:val="BodytextIndented"/>
              <w:ind w:left="-108" w:firstLine="0"/>
            </w:pPr>
            <w:r>
              <w:t>Open circuit voltage,</w:t>
            </w:r>
            <w:r w:rsidR="00E02533" w:rsidRPr="00FE0913">
              <w:t xml:space="preserve"> </w:t>
            </w:r>
            <w:proofErr w:type="spellStart"/>
            <w:r w:rsidR="00E02533" w:rsidRPr="00567102">
              <w:rPr>
                <w:i/>
              </w:rPr>
              <w:t>V</w:t>
            </w:r>
            <w:r>
              <w:rPr>
                <w:i/>
                <w:vertAlign w:val="subscript"/>
              </w:rPr>
              <w:t>o</w:t>
            </w:r>
            <w:r w:rsidR="00E02533" w:rsidRPr="00567102">
              <w:rPr>
                <w:i/>
                <w:vertAlign w:val="subscript"/>
              </w:rPr>
              <w:t>c</w:t>
            </w:r>
            <w:proofErr w:type="spellEnd"/>
          </w:p>
        </w:tc>
        <w:tc>
          <w:tcPr>
            <w:tcW w:w="3315" w:type="dxa"/>
          </w:tcPr>
          <w:p w14:paraId="1A74CC01" w14:textId="77777777" w:rsidR="00E02533" w:rsidRPr="00FE0913" w:rsidRDefault="00567102" w:rsidP="00BE3C7A">
            <w:pPr>
              <w:pStyle w:val="BodytextIndented"/>
              <w:ind w:firstLine="0"/>
              <w:jc w:val="center"/>
            </w:pPr>
            <w:r>
              <w:t>V</w:t>
            </w:r>
          </w:p>
        </w:tc>
        <w:tc>
          <w:tcPr>
            <w:tcW w:w="2597" w:type="dxa"/>
            <w:hideMark/>
          </w:tcPr>
          <w:p w14:paraId="0DC30DBF" w14:textId="77777777" w:rsidR="00E02533" w:rsidRPr="00FE0913" w:rsidRDefault="00E02533" w:rsidP="00567102">
            <w:pPr>
              <w:pStyle w:val="BodytextIndented"/>
              <w:ind w:firstLine="0"/>
              <w:jc w:val="right"/>
            </w:pPr>
            <w:r w:rsidRPr="00FE0913">
              <w:t>21.50</w:t>
            </w:r>
          </w:p>
        </w:tc>
      </w:tr>
      <w:tr w:rsidR="00E02533" w:rsidRPr="00FE0913" w14:paraId="2DF2D034" w14:textId="77777777" w:rsidTr="008C6A29">
        <w:trPr>
          <w:gridAfter w:val="1"/>
          <w:wAfter w:w="90" w:type="dxa"/>
          <w:trHeight w:val="252"/>
        </w:trPr>
        <w:tc>
          <w:tcPr>
            <w:tcW w:w="2922" w:type="dxa"/>
            <w:hideMark/>
          </w:tcPr>
          <w:p w14:paraId="1B8E40CE" w14:textId="77777777" w:rsidR="00E02533" w:rsidRPr="00FE0913" w:rsidRDefault="00567102" w:rsidP="00567102">
            <w:pPr>
              <w:pStyle w:val="BodytextIndented"/>
              <w:ind w:left="-108" w:firstLine="0"/>
            </w:pPr>
            <w:r>
              <w:t xml:space="preserve">Maximum current, </w:t>
            </w:r>
            <w:r w:rsidR="00E02533" w:rsidRPr="00567102">
              <w:rPr>
                <w:i/>
              </w:rPr>
              <w:t>I</w:t>
            </w:r>
            <w:r w:rsidR="00E02533" w:rsidRPr="00567102">
              <w:rPr>
                <w:i/>
                <w:vertAlign w:val="subscript"/>
              </w:rPr>
              <w:t>max</w:t>
            </w:r>
            <w:r w:rsidR="00634D65">
              <w:t xml:space="preserve"> </w:t>
            </w:r>
          </w:p>
        </w:tc>
        <w:tc>
          <w:tcPr>
            <w:tcW w:w="3315" w:type="dxa"/>
          </w:tcPr>
          <w:p w14:paraId="3B58F17C" w14:textId="77777777" w:rsidR="00E02533" w:rsidRDefault="00567102" w:rsidP="00BE3C7A">
            <w:pPr>
              <w:pStyle w:val="BodytextIndented"/>
              <w:ind w:firstLine="0"/>
              <w:jc w:val="center"/>
            </w:pPr>
            <w:r>
              <w:t>A</w:t>
            </w:r>
          </w:p>
        </w:tc>
        <w:tc>
          <w:tcPr>
            <w:tcW w:w="2597" w:type="dxa"/>
            <w:hideMark/>
          </w:tcPr>
          <w:p w14:paraId="5E34E2EF" w14:textId="77777777" w:rsidR="00E02533" w:rsidRPr="00FE0913" w:rsidRDefault="00E02533" w:rsidP="00567102">
            <w:pPr>
              <w:pStyle w:val="BodytextIndented"/>
              <w:ind w:firstLine="0"/>
              <w:jc w:val="right"/>
            </w:pPr>
            <w:r>
              <w:t>4.48</w:t>
            </w:r>
          </w:p>
        </w:tc>
      </w:tr>
      <w:tr w:rsidR="00E02533" w:rsidRPr="00FE0913" w14:paraId="27A8D250" w14:textId="77777777" w:rsidTr="008C6A29">
        <w:trPr>
          <w:gridAfter w:val="1"/>
          <w:wAfter w:w="90" w:type="dxa"/>
          <w:trHeight w:val="267"/>
        </w:trPr>
        <w:tc>
          <w:tcPr>
            <w:tcW w:w="2922" w:type="dxa"/>
            <w:hideMark/>
          </w:tcPr>
          <w:p w14:paraId="572A2B83" w14:textId="77777777" w:rsidR="00E02533" w:rsidRPr="00FE0913" w:rsidRDefault="00567102" w:rsidP="00567102">
            <w:pPr>
              <w:pStyle w:val="BodytextIndented"/>
              <w:ind w:left="-108" w:firstLine="0"/>
            </w:pPr>
            <w:r>
              <w:t>Maximum</w:t>
            </w:r>
            <w:r w:rsidR="00E02533" w:rsidRPr="00FE0913">
              <w:t xml:space="preserve"> </w:t>
            </w:r>
            <w:r>
              <w:t>v</w:t>
            </w:r>
            <w:r w:rsidR="00E02533" w:rsidRPr="00FE0913">
              <w:t>oltage</w:t>
            </w:r>
            <w:r>
              <w:t xml:space="preserve">, </w:t>
            </w:r>
            <w:proofErr w:type="spellStart"/>
            <w:r w:rsidR="00E02533" w:rsidRPr="00567102">
              <w:rPr>
                <w:i/>
              </w:rPr>
              <w:t>V</w:t>
            </w:r>
            <w:r w:rsidR="00E02533" w:rsidRPr="00567102">
              <w:rPr>
                <w:i/>
                <w:vertAlign w:val="subscript"/>
              </w:rPr>
              <w:t>max</w:t>
            </w:r>
            <w:proofErr w:type="spellEnd"/>
          </w:p>
        </w:tc>
        <w:tc>
          <w:tcPr>
            <w:tcW w:w="3315" w:type="dxa"/>
          </w:tcPr>
          <w:p w14:paraId="07D42B84" w14:textId="77777777" w:rsidR="00E02533" w:rsidRPr="00FE0913" w:rsidRDefault="00567102" w:rsidP="00567102">
            <w:pPr>
              <w:pStyle w:val="BodytextIndented"/>
              <w:ind w:firstLine="0"/>
              <w:jc w:val="center"/>
            </w:pPr>
            <w:r>
              <w:t>V</w:t>
            </w:r>
          </w:p>
        </w:tc>
        <w:tc>
          <w:tcPr>
            <w:tcW w:w="2597" w:type="dxa"/>
            <w:hideMark/>
          </w:tcPr>
          <w:p w14:paraId="71962225" w14:textId="77777777" w:rsidR="00E02533" w:rsidRPr="00FE0913" w:rsidRDefault="00E02533" w:rsidP="00567102">
            <w:pPr>
              <w:pStyle w:val="BodytextIndented"/>
              <w:ind w:firstLine="0"/>
              <w:jc w:val="right"/>
            </w:pPr>
            <w:r w:rsidRPr="00FE0913">
              <w:t>17.90</w:t>
            </w:r>
          </w:p>
        </w:tc>
      </w:tr>
      <w:tr w:rsidR="00E02533" w:rsidRPr="00FE0913" w14:paraId="49F07068" w14:textId="77777777" w:rsidTr="008C6A29">
        <w:trPr>
          <w:gridAfter w:val="1"/>
          <w:wAfter w:w="90" w:type="dxa"/>
          <w:trHeight w:val="252"/>
        </w:trPr>
        <w:tc>
          <w:tcPr>
            <w:tcW w:w="2922" w:type="dxa"/>
          </w:tcPr>
          <w:p w14:paraId="12991E0F" w14:textId="77777777" w:rsidR="00E02533" w:rsidRPr="00567102" w:rsidRDefault="00567102" w:rsidP="00567102">
            <w:pPr>
              <w:pStyle w:val="BodytextIndented"/>
              <w:ind w:left="-108" w:firstLine="0"/>
              <w:rPr>
                <w:i/>
              </w:rPr>
            </w:pPr>
            <w:r>
              <w:t xml:space="preserve">Maximum power, </w:t>
            </w:r>
            <w:proofErr w:type="spellStart"/>
            <w:r w:rsidR="00E02533" w:rsidRPr="00567102">
              <w:rPr>
                <w:i/>
              </w:rPr>
              <w:t>P</w:t>
            </w:r>
            <w:r w:rsidR="00E02533" w:rsidRPr="00567102">
              <w:rPr>
                <w:i/>
                <w:vertAlign w:val="subscript"/>
              </w:rPr>
              <w:t>ma</w:t>
            </w:r>
            <w:r>
              <w:rPr>
                <w:i/>
                <w:vertAlign w:val="subscript"/>
              </w:rPr>
              <w:t>x</w:t>
            </w:r>
            <w:proofErr w:type="spellEnd"/>
          </w:p>
        </w:tc>
        <w:tc>
          <w:tcPr>
            <w:tcW w:w="3315" w:type="dxa"/>
          </w:tcPr>
          <w:p w14:paraId="1722D482" w14:textId="77777777" w:rsidR="00E02533" w:rsidRDefault="00567102" w:rsidP="00BE3C7A">
            <w:pPr>
              <w:pStyle w:val="BodytextIndented"/>
              <w:ind w:firstLine="0"/>
              <w:jc w:val="center"/>
            </w:pPr>
            <w:r>
              <w:t>W</w:t>
            </w:r>
          </w:p>
        </w:tc>
        <w:tc>
          <w:tcPr>
            <w:tcW w:w="2597" w:type="dxa"/>
          </w:tcPr>
          <w:p w14:paraId="2E3F3567" w14:textId="77777777" w:rsidR="00E02533" w:rsidRPr="00FE0913" w:rsidRDefault="00E02533" w:rsidP="00567102">
            <w:pPr>
              <w:pStyle w:val="BodytextIndented"/>
              <w:ind w:firstLine="0"/>
              <w:jc w:val="right"/>
            </w:pPr>
            <w:r>
              <w:t>80.19</w:t>
            </w:r>
          </w:p>
        </w:tc>
      </w:tr>
      <w:tr w:rsidR="00E02533" w:rsidRPr="00FE0913" w14:paraId="6FD37E46" w14:textId="77777777" w:rsidTr="008C6A29">
        <w:trPr>
          <w:gridAfter w:val="1"/>
          <w:wAfter w:w="90" w:type="dxa"/>
          <w:trHeight w:val="283"/>
        </w:trPr>
        <w:tc>
          <w:tcPr>
            <w:tcW w:w="2922" w:type="dxa"/>
            <w:tcBorders>
              <w:bottom w:val="single" w:sz="4" w:space="0" w:color="auto"/>
            </w:tcBorders>
            <w:hideMark/>
          </w:tcPr>
          <w:p w14:paraId="28152445" w14:textId="77777777" w:rsidR="00E02533" w:rsidRPr="00FE0913" w:rsidRDefault="00E02533" w:rsidP="00567102">
            <w:pPr>
              <w:pStyle w:val="BodytextIndented"/>
              <w:ind w:left="-108" w:firstLine="0"/>
            </w:pPr>
            <w:r w:rsidRPr="00FE0913">
              <w:t>Efficiency</w:t>
            </w:r>
            <w:r w:rsidR="00567102">
              <w:t>,</w:t>
            </w:r>
            <w:r w:rsidRPr="00FE0913">
              <w:t xml:space="preserve"> </w:t>
            </w:r>
            <w:r w:rsidRPr="00567102">
              <w:rPr>
                <w:i/>
              </w:rPr>
              <w:t>η</w:t>
            </w:r>
          </w:p>
        </w:tc>
        <w:tc>
          <w:tcPr>
            <w:tcW w:w="3315" w:type="dxa"/>
            <w:tcBorders>
              <w:bottom w:val="single" w:sz="4" w:space="0" w:color="auto"/>
            </w:tcBorders>
          </w:tcPr>
          <w:p w14:paraId="4E1D206A" w14:textId="77777777" w:rsidR="00E02533" w:rsidRPr="00FE0913" w:rsidRDefault="00567102" w:rsidP="00BE3C7A">
            <w:pPr>
              <w:pStyle w:val="BodytextIndented"/>
              <w:ind w:firstLine="0"/>
              <w:jc w:val="center"/>
            </w:pPr>
            <w:r>
              <w:t>%</w:t>
            </w:r>
          </w:p>
        </w:tc>
        <w:tc>
          <w:tcPr>
            <w:tcW w:w="2597" w:type="dxa"/>
            <w:tcBorders>
              <w:bottom w:val="single" w:sz="4" w:space="0" w:color="auto"/>
            </w:tcBorders>
            <w:hideMark/>
          </w:tcPr>
          <w:p w14:paraId="4E7168EF" w14:textId="77777777" w:rsidR="00E02533" w:rsidRPr="00FE0913" w:rsidRDefault="00E02533" w:rsidP="00567102">
            <w:pPr>
              <w:pStyle w:val="BodytextIndented"/>
              <w:ind w:firstLine="0"/>
              <w:jc w:val="right"/>
            </w:pPr>
            <w:r w:rsidRPr="00FE0913">
              <w:t>11.14</w:t>
            </w:r>
          </w:p>
        </w:tc>
      </w:tr>
    </w:tbl>
    <w:p w14:paraId="1FA04163" w14:textId="77777777" w:rsidR="000F0071" w:rsidRDefault="000F0071" w:rsidP="00567102">
      <w:pPr>
        <w:pStyle w:val="BodytextIndented"/>
        <w:ind w:firstLine="0"/>
      </w:pPr>
    </w:p>
    <w:p w14:paraId="61F9337A" w14:textId="38ABB429" w:rsidR="00AE7995" w:rsidRDefault="001D2B7B" w:rsidP="00AE7995">
      <w:pPr>
        <w:pStyle w:val="BodytextIndented"/>
        <w:ind w:firstLine="0"/>
      </w:pPr>
      <w:r>
        <w:t xml:space="preserve">The experiment was carried out on a </w:t>
      </w:r>
      <w:r w:rsidR="00D34FEC">
        <w:t xml:space="preserve">north facing test rig at </w:t>
      </w:r>
      <w:r w:rsidR="00AA1F7A">
        <w:t xml:space="preserve">tilt </w:t>
      </w:r>
      <w:r w:rsidR="00AA1F7A" w:rsidRPr="008C6A29">
        <w:t>angle of 32.75</w:t>
      </w:r>
      <w:r w:rsidR="00AA1F7A" w:rsidRPr="008C6A29">
        <w:rPr>
          <w:rFonts w:cs="Calibri"/>
        </w:rPr>
        <w:t>°</w:t>
      </w:r>
      <w:r w:rsidR="00567102" w:rsidRPr="008C6A29">
        <w:rPr>
          <w:rFonts w:cs="Calibri"/>
        </w:rPr>
        <w:t>,</w:t>
      </w:r>
      <w:r w:rsidR="00567102">
        <w:rPr>
          <w:rFonts w:ascii="Calibri" w:hAnsi="Calibri" w:cs="Calibri"/>
        </w:rPr>
        <w:t xml:space="preserve"> </w:t>
      </w:r>
      <w:r w:rsidR="00567102">
        <w:rPr>
          <w:rFonts w:cs="Times"/>
        </w:rPr>
        <w:t xml:space="preserve">the latitude of </w:t>
      </w:r>
      <w:r w:rsidR="00AA1F7A">
        <w:rPr>
          <w:rFonts w:cs="Times"/>
        </w:rPr>
        <w:t>Alice, South Africa</w:t>
      </w:r>
      <w:r w:rsidR="00244E5B">
        <w:rPr>
          <w:rFonts w:cs="Times"/>
        </w:rPr>
        <w:t>.</w:t>
      </w:r>
      <w:r w:rsidR="008468CE">
        <w:t xml:space="preserve"> </w:t>
      </w:r>
      <w:r w:rsidR="006D01C5">
        <w:t>The modules were connected to the I/V low cost system developed at the</w:t>
      </w:r>
      <w:r w:rsidR="008C6A29">
        <w:t xml:space="preserve"> Fort Hare I</w:t>
      </w:r>
      <w:r w:rsidR="00634D65">
        <w:t>nstitute of Technology</w:t>
      </w:r>
      <w:r w:rsidR="00813DBC">
        <w:t xml:space="preserve"> [</w:t>
      </w:r>
      <w:r w:rsidR="00DF06C7">
        <w:t>6</w:t>
      </w:r>
      <w:r w:rsidR="00813DBC">
        <w:t>]</w:t>
      </w:r>
      <w:r w:rsidR="008468CE">
        <w:t xml:space="preserve">, </w:t>
      </w:r>
      <w:r w:rsidR="00D00628">
        <w:t>and to</w:t>
      </w:r>
      <w:r w:rsidR="008468CE">
        <w:t xml:space="preserve"> the </w:t>
      </w:r>
      <w:proofErr w:type="spellStart"/>
      <w:r w:rsidR="008468CE">
        <w:t>Sunsaver</w:t>
      </w:r>
      <w:proofErr w:type="spellEnd"/>
      <w:r w:rsidR="008468CE">
        <w:t xml:space="preserve"> MPPT (maximum power point tracking) charge controller. The charge controller was connected through a Morningstar PC </w:t>
      </w:r>
      <w:proofErr w:type="spellStart"/>
      <w:r w:rsidR="008468CE">
        <w:t>Meterbus</w:t>
      </w:r>
      <w:proofErr w:type="spellEnd"/>
      <w:r w:rsidR="008468CE">
        <w:t xml:space="preserve"> to a personal computer for data logging. Data logged </w:t>
      </w:r>
      <w:r>
        <w:t xml:space="preserve">from the controller </w:t>
      </w:r>
      <w:r w:rsidR="00634D65">
        <w:t xml:space="preserve">were module current and </w:t>
      </w:r>
      <w:r w:rsidR="00D7354C">
        <w:t xml:space="preserve"> </w:t>
      </w:r>
      <w:r w:rsidR="00634D65">
        <w:t xml:space="preserve">voltage </w:t>
      </w:r>
      <w:r w:rsidR="008468CE">
        <w:t xml:space="preserve"> output as well as load current and voltage and battery voltage</w:t>
      </w:r>
      <w:r w:rsidR="00244E5B">
        <w:t xml:space="preserve">, all measured by the </w:t>
      </w:r>
      <w:proofErr w:type="spellStart"/>
      <w:r w:rsidR="00244E5B">
        <w:t>sunsaver</w:t>
      </w:r>
      <w:proofErr w:type="spellEnd"/>
      <w:r w:rsidR="00813DBC">
        <w:t xml:space="preserve"> </w:t>
      </w:r>
      <w:r w:rsidR="00244E5B">
        <w:t>MPPT</w:t>
      </w:r>
      <w:r w:rsidR="008468CE">
        <w:t>.</w:t>
      </w:r>
      <w:r w:rsidR="006C624D">
        <w:t xml:space="preserve"> The storage tank was placed at a height of 30</w:t>
      </w:r>
      <w:r w:rsidR="008C6A29">
        <w:t xml:space="preserve"> </w:t>
      </w:r>
      <w:r w:rsidR="006C624D">
        <w:t>cm to enable</w:t>
      </w:r>
      <w:r w:rsidR="008C6A29">
        <w:t xml:space="preserve"> the</w:t>
      </w:r>
      <w:r w:rsidR="006C624D">
        <w:t xml:space="preserve"> thermosyphon effect.</w:t>
      </w:r>
      <w:r w:rsidR="00D7354C">
        <w:t xml:space="preserve"> </w:t>
      </w:r>
      <w:r w:rsidR="00D2526C">
        <w:t>F</w:t>
      </w:r>
      <w:r w:rsidR="00D7354C">
        <w:t>igure</w:t>
      </w:r>
      <w:r w:rsidR="008C6A29">
        <w:t>s</w:t>
      </w:r>
      <w:r w:rsidR="00D7354C">
        <w:t xml:space="preserve"> 1 </w:t>
      </w:r>
      <w:r w:rsidR="00D65847">
        <w:t xml:space="preserve">and 2 </w:t>
      </w:r>
      <w:r w:rsidR="008C6A29">
        <w:t>illustrate</w:t>
      </w:r>
      <w:r w:rsidR="00D7354C">
        <w:t xml:space="preserve"> the </w:t>
      </w:r>
      <w:r w:rsidR="00D65847">
        <w:t>photos of</w:t>
      </w:r>
      <w:r w:rsidR="00D2526C">
        <w:t xml:space="preserve"> M</w:t>
      </w:r>
      <w:r w:rsidR="00D2526C" w:rsidRPr="00A54EDA">
        <w:rPr>
          <w:vertAlign w:val="subscript"/>
        </w:rPr>
        <w:t>1</w:t>
      </w:r>
      <w:r w:rsidR="00D2526C">
        <w:t xml:space="preserve"> and M</w:t>
      </w:r>
      <w:r w:rsidR="00D2526C" w:rsidRPr="00A54EDA">
        <w:rPr>
          <w:vertAlign w:val="subscript"/>
        </w:rPr>
        <w:t>2</w:t>
      </w:r>
      <w:r w:rsidR="00D2526C">
        <w:t xml:space="preserve"> on a test rig and that of data acquisition system (DAS)</w:t>
      </w:r>
      <w:r w:rsidR="008C6A29">
        <w:t>, respectively</w:t>
      </w:r>
      <w:r w:rsidR="00D2526C">
        <w:t>.</w:t>
      </w:r>
      <w:r w:rsidR="00AE7995" w:rsidRPr="00AE7995">
        <w:t xml:space="preserve"> </w:t>
      </w:r>
      <w:r w:rsidR="00AE7995">
        <w:t>The schematic diagram in figure 3 shows the connection setup of the system.</w:t>
      </w:r>
    </w:p>
    <w:p w14:paraId="3038B839" w14:textId="77777777" w:rsidR="00AE7995" w:rsidRDefault="00AE7995" w:rsidP="00AE7995">
      <w:pPr>
        <w:pStyle w:val="BodytextIndented"/>
        <w:ind w:firstLine="0"/>
      </w:pPr>
    </w:p>
    <w:p w14:paraId="0B002193" w14:textId="4DA36411" w:rsidR="00AE7995" w:rsidRDefault="00AE7995" w:rsidP="00AE7995">
      <w:pPr>
        <w:pStyle w:val="BodytextIndented"/>
        <w:ind w:firstLine="0"/>
      </w:pPr>
      <w:r>
        <w:t>In the setup the interconnection of modules and the charge controllers as well as the I/V tracer are shown. The data was automatically recorded at a 30</w:t>
      </w:r>
      <w:r w:rsidR="00DF06C7">
        <w:t>-</w:t>
      </w:r>
      <w:r>
        <w:t>minute interval from 06h00 to 19h00. The irradiance, wind speed and temperatures were all recorded every 10 minutes for 24 hours over the five-month period.</w:t>
      </w:r>
    </w:p>
    <w:p w14:paraId="1F14C717" w14:textId="77777777" w:rsidR="00D2526C" w:rsidRDefault="00D2526C" w:rsidP="00BE3C7A">
      <w:pPr>
        <w:pStyle w:val="BodytextIndented"/>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222"/>
        <w:gridCol w:w="4496"/>
      </w:tblGrid>
      <w:tr w:rsidR="002457DD" w14:paraId="1C64BC4C" w14:textId="77777777" w:rsidTr="008C6A29">
        <w:tc>
          <w:tcPr>
            <w:tcW w:w="4525" w:type="dxa"/>
          </w:tcPr>
          <w:p w14:paraId="7B268A27" w14:textId="77777777" w:rsidR="007563C0" w:rsidRDefault="008C6A29" w:rsidP="00BE3C7A">
            <w:pPr>
              <w:pStyle w:val="BodytextIndented"/>
              <w:ind w:firstLine="0"/>
            </w:pPr>
            <w:r>
              <w:rPr>
                <w:noProof/>
              </w:rPr>
              <w:lastRenderedPageBreak/>
              <mc:AlternateContent>
                <mc:Choice Requires="wpg">
                  <w:drawing>
                    <wp:anchor distT="0" distB="0" distL="114300" distR="114300" simplePos="0" relativeHeight="251664384" behindDoc="0" locked="0" layoutInCell="1" allowOverlap="1" wp14:anchorId="228E073C" wp14:editId="3DB83EE5">
                      <wp:simplePos x="0" y="0"/>
                      <wp:positionH relativeFrom="column">
                        <wp:posOffset>728345</wp:posOffset>
                      </wp:positionH>
                      <wp:positionV relativeFrom="paragraph">
                        <wp:posOffset>-635</wp:posOffset>
                      </wp:positionV>
                      <wp:extent cx="2200910" cy="1387732"/>
                      <wp:effectExtent l="0" t="0" r="0" b="9525"/>
                      <wp:wrapNone/>
                      <wp:docPr id="2" name="Group 2"/>
                      <wp:cNvGraphicFramePr/>
                      <a:graphic xmlns:a="http://schemas.openxmlformats.org/drawingml/2006/main">
                        <a:graphicData uri="http://schemas.microsoft.com/office/word/2010/wordprocessingGroup">
                          <wpg:wgp>
                            <wpg:cNvGrpSpPr/>
                            <wpg:grpSpPr>
                              <a:xfrm>
                                <a:off x="0" y="0"/>
                                <a:ext cx="2200910" cy="1387732"/>
                                <a:chOff x="0" y="0"/>
                                <a:chExt cx="2200910" cy="1387732"/>
                              </a:xfrm>
                            </wpg:grpSpPr>
                            <wps:wsp>
                              <wps:cNvPr id="15" name="Text Box 15"/>
                              <wps:cNvSpPr txBox="1"/>
                              <wps:spPr>
                                <a:xfrm>
                                  <a:off x="0" y="1096009"/>
                                  <a:ext cx="438150" cy="291723"/>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39724D6A" w14:textId="77777777" w:rsidR="005D07D8" w:rsidRPr="00D65847" w:rsidRDefault="005D07D8">
                                    <w:pPr>
                                      <w:rPr>
                                        <w:color w:val="FFFFFF" w:themeColor="background1"/>
                                        <w:sz w:val="20"/>
                                        <w:lang w:val="en-ZA"/>
                                      </w:rPr>
                                    </w:pPr>
                                    <w:r w:rsidRPr="00D65847">
                                      <w:rPr>
                                        <w:color w:val="FFFFFF" w:themeColor="background1"/>
                                        <w:sz w:val="20"/>
                                        <w:lang w:val="en-ZA"/>
                                      </w:rPr>
                                      <w:t>M</w:t>
                                    </w:r>
                                    <w:r w:rsidRPr="00A54EDA">
                                      <w:rPr>
                                        <w:color w:val="FFFFFF" w:themeColor="background1"/>
                                        <w:sz w:val="24"/>
                                        <w:szCs w:val="24"/>
                                        <w:vertAlign w:val="subscript"/>
                                        <w:lang w:val="en-Z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981075" y="626112"/>
                                  <a:ext cx="419100" cy="312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986DA" w14:textId="77777777" w:rsidR="005D07D8" w:rsidRPr="00A54EDA" w:rsidRDefault="005D07D8">
                                    <w:pPr>
                                      <w:rPr>
                                        <w:color w:val="FFFFFF" w:themeColor="background1"/>
                                        <w:sz w:val="20"/>
                                        <w:vertAlign w:val="subscript"/>
                                        <w:lang w:val="en-ZA"/>
                                      </w:rPr>
                                    </w:pPr>
                                    <w:r w:rsidRPr="00D65847">
                                      <w:rPr>
                                        <w:color w:val="FFFFFF" w:themeColor="background1"/>
                                        <w:sz w:val="20"/>
                                        <w:lang w:val="en-ZA"/>
                                      </w:rPr>
                                      <w:t>M</w:t>
                                    </w:r>
                                    <w:r w:rsidRPr="00A54EDA">
                                      <w:rPr>
                                        <w:color w:val="FFFFFF" w:themeColor="background1"/>
                                        <w:sz w:val="24"/>
                                        <w:szCs w:val="24"/>
                                        <w:vertAlign w:val="subscript"/>
                                        <w:lang w:val="en-Z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115060" y="635"/>
                                  <a:ext cx="10858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39CEA" w14:textId="77777777" w:rsidR="005D07D8" w:rsidRPr="008C6A29" w:rsidRDefault="005D07D8">
                                    <w:pPr>
                                      <w:rPr>
                                        <w:b/>
                                        <w:sz w:val="18"/>
                                        <w:szCs w:val="18"/>
                                        <w:lang w:val="en-ZA"/>
                                      </w:rPr>
                                    </w:pPr>
                                    <w:r w:rsidRPr="008C6A29">
                                      <w:rPr>
                                        <w:b/>
                                        <w:sz w:val="18"/>
                                        <w:szCs w:val="18"/>
                                        <w:lang w:val="en-ZA"/>
                                      </w:rPr>
                                      <w:t>Storage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53035" y="0"/>
                                  <a:ext cx="9239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E6349" w14:textId="77777777" w:rsidR="005D07D8" w:rsidRPr="008C6A29" w:rsidRDefault="005D07D8">
                                    <w:pPr>
                                      <w:rPr>
                                        <w:b/>
                                        <w:sz w:val="18"/>
                                        <w:szCs w:val="18"/>
                                        <w:lang w:val="en-ZA"/>
                                      </w:rPr>
                                    </w:pPr>
                                    <w:r w:rsidRPr="008C6A29">
                                      <w:rPr>
                                        <w:b/>
                                        <w:sz w:val="18"/>
                                        <w:szCs w:val="18"/>
                                        <w:lang w:val="en-ZA"/>
                                      </w:rPr>
                                      <w:t>Pyranometer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flipH="1">
                                  <a:off x="1352550" y="172085"/>
                                  <a:ext cx="18986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a:off x="390525" y="172085"/>
                                  <a:ext cx="2762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57.35pt;margin-top:0;width:173.3pt;height:109.25pt;z-index:251664384;mso-height-relative:margin" coordsize="2200910,1387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">
                      <v:shapetype id="_x0000_t202" coordsize="21600,21600" o:spt="202" path="m0,0l0,21600,21600,21600,21600,0xe">
                        <v:stroke joinstyle="miter"/>
                        <v:path gradientshapeok="t" o:connecttype="rect"/>
                      </v:shapetype>
                      <v:shape id="Text Box 15" o:spid="_x0000_s1027" type="#_x0000_t202" style="position:absolute;top:1096009;width:438150;height:2917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NkrwgAA&#10;ANsAAAAPAAAAZHJzL2Rvd25yZXYueG1sRE/NasJAEL4LfYdlCt50Y0WR1FWKVFHswWgeYJqdZtNm&#10;Z0N21fj2bkHwNh/f78yXna3FhVpfOVYwGiYgiAunKy4V5Kf1YAbCB2SNtWNScCMPy8VLb46pdlfO&#10;6HIMpYgh7FNUYEJoUil9YciiH7qGOHI/rrUYImxLqVu8xnBby7ckmUqLFccGgw2tDBV/x7NVcB7v&#10;bt/7zT6bfn3yrxkdcqpWuVL91+7jHUSgLjzFD/dWx/kT+P8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g2SvCAAAA2wAAAA8AAAAAAAAAAAAAAAAAlwIAAGRycy9kb3du&#10;cmV2LnhtbFBLBQYAAAAABAAEAPUAAACGAwAAAAA=&#10;" filled="f" stroked="f" strokeweight="0">
                        <v:textbox>
                          <w:txbxContent>
                            <w:p w14:paraId="39724D6A" w14:textId="77777777" w:rsidR="005D07D8" w:rsidRPr="00D65847" w:rsidRDefault="005D07D8">
                              <w:pPr>
                                <w:rPr>
                                  <w:color w:val="FFFFFF" w:themeColor="background1"/>
                                  <w:sz w:val="20"/>
                                  <w:lang w:val="en-ZA"/>
                                </w:rPr>
                              </w:pPr>
                              <w:r w:rsidRPr="00D65847">
                                <w:rPr>
                                  <w:color w:val="FFFFFF" w:themeColor="background1"/>
                                  <w:sz w:val="20"/>
                                  <w:lang w:val="en-ZA"/>
                                </w:rPr>
                                <w:t>M</w:t>
                              </w:r>
                              <w:r w:rsidRPr="00A54EDA">
                                <w:rPr>
                                  <w:color w:val="FFFFFF" w:themeColor="background1"/>
                                  <w:sz w:val="24"/>
                                  <w:szCs w:val="24"/>
                                  <w:vertAlign w:val="subscript"/>
                                  <w:lang w:val="en-ZA"/>
                                </w:rPr>
                                <w:t>1</w:t>
                              </w:r>
                            </w:p>
                          </w:txbxContent>
                        </v:textbox>
                      </v:shape>
                      <v:shape id="Text Box 17" o:spid="_x0000_s1028" type="#_x0000_t202" style="position:absolute;left:981075;top:626112;width:419100;height:312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40D986DA" w14:textId="77777777" w:rsidR="005D07D8" w:rsidRPr="00A54EDA" w:rsidRDefault="005D07D8">
                              <w:pPr>
                                <w:rPr>
                                  <w:color w:val="FFFFFF" w:themeColor="background1"/>
                                  <w:sz w:val="20"/>
                                  <w:vertAlign w:val="subscript"/>
                                  <w:lang w:val="en-ZA"/>
                                </w:rPr>
                              </w:pPr>
                              <w:r w:rsidRPr="00D65847">
                                <w:rPr>
                                  <w:color w:val="FFFFFF" w:themeColor="background1"/>
                                  <w:sz w:val="20"/>
                                  <w:lang w:val="en-ZA"/>
                                </w:rPr>
                                <w:t>M</w:t>
                              </w:r>
                              <w:r w:rsidRPr="00A54EDA">
                                <w:rPr>
                                  <w:color w:val="FFFFFF" w:themeColor="background1"/>
                                  <w:sz w:val="24"/>
                                  <w:szCs w:val="24"/>
                                  <w:vertAlign w:val="subscript"/>
                                  <w:lang w:val="en-ZA"/>
                                </w:rPr>
                                <w:t>2</w:t>
                              </w:r>
                            </w:p>
                          </w:txbxContent>
                        </v:textbox>
                      </v:shape>
                      <v:shape id="Text Box 18" o:spid="_x0000_s1029" type="#_x0000_t202" style="position:absolute;left:1115060;top:635;width:108585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RaJ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gZV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hFonFAAAA2wAAAA8AAAAAAAAAAAAAAAAAlwIAAGRycy9k&#10;b3ducmV2LnhtbFBLBQYAAAAABAAEAPUAAACJAwAAAAA=&#10;" filled="f" stroked="f" strokeweight=".5pt">
                        <v:textbox>
                          <w:txbxContent>
                            <w:p w14:paraId="7F139CEA" w14:textId="77777777" w:rsidR="005D07D8" w:rsidRPr="008C6A29" w:rsidRDefault="005D07D8">
                              <w:pPr>
                                <w:rPr>
                                  <w:b/>
                                  <w:sz w:val="18"/>
                                  <w:szCs w:val="18"/>
                                  <w:lang w:val="en-ZA"/>
                                </w:rPr>
                              </w:pPr>
                              <w:r w:rsidRPr="008C6A29">
                                <w:rPr>
                                  <w:b/>
                                  <w:sz w:val="18"/>
                                  <w:szCs w:val="18"/>
                                  <w:lang w:val="en-ZA"/>
                                </w:rPr>
                                <w:t>Storage Tank</w:t>
                              </w:r>
                            </w:p>
                          </w:txbxContent>
                        </v:textbox>
                      </v:shape>
                      <v:shape id="Text Box 19" o:spid="_x0000_s1030" type="#_x0000_t202" style="position:absolute;left:153035;width:92392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bMSwgAA&#10;ANsAAAAPAAAAZHJzL2Rvd25yZXYueG1sRE9Li8IwEL4v+B/CCHtbUwVFq1GkICuLHnxcvI3N2Bab&#10;SW2yWv31RhC8zcf3nMmsMaW4Uu0Kywq6nQgEcWp1wZmC/W7xMwThPLLG0jIpuJOD2bT1NcFY2xtv&#10;6Lr1mQgh7GJUkHtfxVK6NCeDrmMr4sCdbG3QB1hnUtd4C+GmlL0oGkiDBYeGHCtKckrP23+j4C9Z&#10;rHFz7Jnho0x+V6d5ddkf+kp9t5v5GISnxn/Eb/dSh/kjeP0SDp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tsxLCAAAA2wAAAA8AAAAAAAAAAAAAAAAAlwIAAGRycy9kb3du&#10;cmV2LnhtbFBLBQYAAAAABAAEAPUAAACGAwAAAAA=&#10;" filled="f" stroked="f" strokeweight=".5pt">
                        <v:textbox>
                          <w:txbxContent>
                            <w:p w14:paraId="0C3E6349" w14:textId="77777777" w:rsidR="005D07D8" w:rsidRPr="008C6A29" w:rsidRDefault="005D07D8">
                              <w:pPr>
                                <w:rPr>
                                  <w:b/>
                                  <w:sz w:val="18"/>
                                  <w:szCs w:val="18"/>
                                  <w:lang w:val="en-ZA"/>
                                </w:rPr>
                              </w:pPr>
                              <w:r w:rsidRPr="008C6A29">
                                <w:rPr>
                                  <w:b/>
                                  <w:sz w:val="18"/>
                                  <w:szCs w:val="18"/>
                                  <w:lang w:val="en-ZA"/>
                                </w:rPr>
                                <w:t>Pyranometer</w:t>
                              </w:r>
                            </w:p>
                          </w:txbxContent>
                        </v:textbox>
                      </v:shape>
                      <v:shapetype id="_x0000_t32" coordsize="21600,21600" o:spt="32" o:oned="t" path="m0,0l21600,21600e" filled="f">
                        <v:path arrowok="t" fillok="f" o:connecttype="none"/>
                        <o:lock v:ext="edit" shapetype="t"/>
                      </v:shapetype>
                      <v:shape id="Straight Arrow Connector 20" o:spid="_x0000_s1031" type="#_x0000_t32" style="position:absolute;left:1352550;top:172085;width:189865;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Straight Arrow Connector 21" o:spid="_x0000_s1032" type="#_x0000_t32" style="position:absolute;left:390525;top:172085;width:276225;height:4286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iecsYAAADbAAAADwAAAGRycy9kb3ducmV2LnhtbESPQWvCQBSE74X+h+UVvDUbo2hJXUUq&#10;olKh1JaCt0f2NRuafRuzq8Z/7xYEj8PMfMNMZp2txYlaXzlW0E9SEMSF0xWXCr6/ls8vIHxA1lg7&#10;JgUX8jCbPj5MMNfuzJ902oVSRAj7HBWYEJpcSl8YsugT1xBH79e1FkOUbSl1i+cIt7XM0nQkLVYc&#10;Fww29Gao+NsdrYLF5mc4PnSHj8Fqb7YFDcb7bP6uVO+pm7+CCNSFe/jWXmsFWR/+v8QfIK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oYnnLGAAAA2wAAAA8AAAAAAAAA&#10;AAAAAAAAoQIAAGRycy9kb3ducmV2LnhtbFBLBQYAAAAABAAEAPkAAACUAwAAAAA=&#10;" strokecolor="black [3040]">
                        <v:stroke endarrow="open"/>
                      </v:shape>
                    </v:group>
                  </w:pict>
                </mc:Fallback>
              </mc:AlternateContent>
            </w:r>
            <w:r w:rsidR="007563C0">
              <w:rPr>
                <w:noProof/>
              </w:rPr>
              <w:drawing>
                <wp:inline distT="0" distB="0" distL="0" distR="0" wp14:anchorId="6051B693" wp14:editId="39D60802">
                  <wp:extent cx="2762250" cy="1714500"/>
                  <wp:effectExtent l="0" t="0" r="0" b="0"/>
                  <wp:docPr id="11"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608" cy="1716584"/>
                          </a:xfrm>
                          <a:prstGeom prst="rect">
                            <a:avLst/>
                          </a:prstGeom>
                          <a:noFill/>
                          <a:ln>
                            <a:noFill/>
                          </a:ln>
                          <a:extLst/>
                        </pic:spPr>
                      </pic:pic>
                    </a:graphicData>
                  </a:graphic>
                </wp:inline>
              </w:drawing>
            </w:r>
          </w:p>
        </w:tc>
        <w:tc>
          <w:tcPr>
            <w:tcW w:w="222" w:type="dxa"/>
          </w:tcPr>
          <w:p w14:paraId="108F0158" w14:textId="77777777" w:rsidR="007563C0" w:rsidRDefault="007563C0" w:rsidP="00BE3C7A">
            <w:pPr>
              <w:pStyle w:val="BodytextIndented"/>
              <w:ind w:firstLine="0"/>
            </w:pPr>
          </w:p>
        </w:tc>
        <w:tc>
          <w:tcPr>
            <w:tcW w:w="4496" w:type="dxa"/>
          </w:tcPr>
          <w:p w14:paraId="59333428" w14:textId="77777777" w:rsidR="007563C0" w:rsidRDefault="002457DD" w:rsidP="00BE3C7A">
            <w:pPr>
              <w:pStyle w:val="BodytextIndented"/>
              <w:ind w:firstLine="0"/>
            </w:pPr>
            <w:r>
              <w:rPr>
                <w:rFonts w:eastAsiaTheme="minorEastAsia"/>
                <w:noProof/>
              </w:rPr>
              <w:drawing>
                <wp:inline distT="0" distB="0" distL="0" distR="0" wp14:anchorId="62FE1010" wp14:editId="47BB1FC3">
                  <wp:extent cx="2734697" cy="17145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481" cy="1714991"/>
                          </a:xfrm>
                          <a:prstGeom prst="rect">
                            <a:avLst/>
                          </a:prstGeom>
                          <a:noFill/>
                        </pic:spPr>
                      </pic:pic>
                    </a:graphicData>
                  </a:graphic>
                </wp:inline>
              </w:drawing>
            </w:r>
          </w:p>
        </w:tc>
      </w:tr>
      <w:tr w:rsidR="002457DD" w14:paraId="4F434769" w14:textId="77777777" w:rsidTr="008C6A29">
        <w:tc>
          <w:tcPr>
            <w:tcW w:w="4525" w:type="dxa"/>
          </w:tcPr>
          <w:p w14:paraId="5F987A50" w14:textId="77777777" w:rsidR="007563C0" w:rsidRDefault="007563C0" w:rsidP="00BE3C7A">
            <w:pPr>
              <w:pStyle w:val="BodytextIndented"/>
              <w:ind w:firstLine="0"/>
            </w:pPr>
          </w:p>
          <w:p w14:paraId="77992C92" w14:textId="77777777" w:rsidR="007563C0" w:rsidRDefault="007563C0" w:rsidP="008C6A29">
            <w:pPr>
              <w:pStyle w:val="BodytextIndented"/>
              <w:ind w:firstLine="0"/>
            </w:pPr>
            <w:r w:rsidRPr="008C6A29">
              <w:rPr>
                <w:i/>
                <w:u w:val="single"/>
              </w:rPr>
              <w:t>Figure 1</w:t>
            </w:r>
            <w:r>
              <w:t xml:space="preserve">: </w:t>
            </w:r>
            <w:r w:rsidR="008C6A29">
              <w:t xml:space="preserve"> </w:t>
            </w:r>
            <w:r>
              <w:t>M</w:t>
            </w:r>
            <w:r w:rsidRPr="00A54EDA">
              <w:rPr>
                <w:vertAlign w:val="subscript"/>
              </w:rPr>
              <w:t>1</w:t>
            </w:r>
            <w:r>
              <w:t xml:space="preserve"> and M</w:t>
            </w:r>
            <w:r w:rsidRPr="00A54EDA">
              <w:rPr>
                <w:vertAlign w:val="subscript"/>
              </w:rPr>
              <w:t>2</w:t>
            </w:r>
            <w:r>
              <w:t xml:space="preserve"> on </w:t>
            </w:r>
            <w:r w:rsidR="008C6A29">
              <w:t xml:space="preserve">N-facing </w:t>
            </w:r>
            <w:r>
              <w:t>test rig</w:t>
            </w:r>
          </w:p>
        </w:tc>
        <w:tc>
          <w:tcPr>
            <w:tcW w:w="222" w:type="dxa"/>
          </w:tcPr>
          <w:p w14:paraId="4A4FD141" w14:textId="77777777" w:rsidR="007563C0" w:rsidRDefault="007563C0" w:rsidP="00BE3C7A">
            <w:pPr>
              <w:pStyle w:val="BodytextIndented"/>
              <w:ind w:firstLine="0"/>
            </w:pPr>
          </w:p>
        </w:tc>
        <w:tc>
          <w:tcPr>
            <w:tcW w:w="4496" w:type="dxa"/>
          </w:tcPr>
          <w:p w14:paraId="731B79F6" w14:textId="77777777" w:rsidR="002457DD" w:rsidRDefault="002457DD" w:rsidP="00BE3C7A">
            <w:pPr>
              <w:pStyle w:val="BodytextIndented"/>
              <w:ind w:firstLine="0"/>
            </w:pPr>
          </w:p>
          <w:p w14:paraId="0022B9EC" w14:textId="77777777" w:rsidR="007563C0" w:rsidRDefault="002457DD" w:rsidP="008C6A29">
            <w:pPr>
              <w:pStyle w:val="BodytextIndented"/>
              <w:ind w:firstLine="0"/>
            </w:pPr>
            <w:r w:rsidRPr="008C6A29">
              <w:rPr>
                <w:i/>
                <w:u w:val="single"/>
              </w:rPr>
              <w:t>Figure 2</w:t>
            </w:r>
            <w:r w:rsidR="008C6A29">
              <w:t xml:space="preserve">:  </w:t>
            </w:r>
            <w:r>
              <w:t>Photo of Data Acquisition system</w:t>
            </w:r>
          </w:p>
        </w:tc>
      </w:tr>
    </w:tbl>
    <w:p w14:paraId="63175538" w14:textId="77777777" w:rsidR="00B934D4" w:rsidRDefault="00B934D4" w:rsidP="00BE3C7A">
      <w:pPr>
        <w:pStyle w:val="BodytextIndented"/>
        <w:ind w:firstLine="0"/>
      </w:pPr>
    </w:p>
    <w:p w14:paraId="112D37EA" w14:textId="77777777" w:rsidR="00D7354C" w:rsidRDefault="0016574A" w:rsidP="00BE3C7A">
      <w:pPr>
        <w:pStyle w:val="BodytextIndented"/>
        <w:ind w:firstLine="0"/>
        <w:jc w:val="center"/>
      </w:pPr>
      <w:r w:rsidRPr="0016574A">
        <w:rPr>
          <w:noProof/>
        </w:rPr>
        <w:drawing>
          <wp:inline distT="0" distB="0" distL="0" distR="0" wp14:anchorId="70BE4F88" wp14:editId="4FFE107D">
            <wp:extent cx="5775508" cy="2714400"/>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463"/>
                    <a:stretch/>
                  </pic:blipFill>
                  <pic:spPr bwMode="auto">
                    <a:xfrm>
                      <a:off x="0" y="0"/>
                      <a:ext cx="5812080" cy="2731588"/>
                    </a:xfrm>
                    <a:prstGeom prst="rect">
                      <a:avLst/>
                    </a:prstGeom>
                    <a:noFill/>
                    <a:ln>
                      <a:noFill/>
                    </a:ln>
                    <a:extLst>
                      <a:ext uri="{53640926-AAD7-44d8-BBD7-CCE9431645EC}">
                        <a14:shadowObscured xmlns:a14="http://schemas.microsoft.com/office/drawing/2010/main"/>
                      </a:ext>
                    </a:extLst>
                  </pic:spPr>
                </pic:pic>
              </a:graphicData>
            </a:graphic>
          </wp:inline>
        </w:drawing>
      </w:r>
    </w:p>
    <w:p w14:paraId="0EC6B512" w14:textId="77777777" w:rsidR="00682098" w:rsidRDefault="008C6A29" w:rsidP="00BE3C7A">
      <w:pPr>
        <w:pStyle w:val="BodytextIndented"/>
        <w:ind w:firstLine="0"/>
      </w:pPr>
      <w:r>
        <w:rPr>
          <w:i/>
          <w:u w:val="single"/>
        </w:rPr>
        <w:t xml:space="preserve">Figure </w:t>
      </w:r>
      <w:r w:rsidRPr="008C6A29">
        <w:rPr>
          <w:i/>
          <w:u w:val="single"/>
        </w:rPr>
        <w:t>3</w:t>
      </w:r>
      <w:r>
        <w:t>:  Diagrammatic c</w:t>
      </w:r>
      <w:r w:rsidR="00813DBC" w:rsidRPr="008C6A29">
        <w:t>onnection</w:t>
      </w:r>
      <w:r>
        <w:t xml:space="preserve"> setup of the system</w:t>
      </w:r>
    </w:p>
    <w:p w14:paraId="781D3BB1" w14:textId="77777777" w:rsidR="00682098" w:rsidRDefault="00682098" w:rsidP="00BE3C7A">
      <w:pPr>
        <w:pStyle w:val="BodytextIndented"/>
        <w:ind w:firstLine="0"/>
      </w:pPr>
    </w:p>
    <w:p w14:paraId="1487F26F" w14:textId="77777777" w:rsidR="00E733BA" w:rsidRPr="00B007E8" w:rsidRDefault="008C6A29" w:rsidP="008C6A29">
      <w:pPr>
        <w:pStyle w:val="BodytextIndented"/>
        <w:ind w:left="567" w:hanging="567"/>
        <w:rPr>
          <w:b/>
        </w:rPr>
      </w:pPr>
      <w:r>
        <w:rPr>
          <w:b/>
        </w:rPr>
        <w:t>3</w:t>
      </w:r>
      <w:r>
        <w:rPr>
          <w:b/>
        </w:rPr>
        <w:tab/>
      </w:r>
      <w:r w:rsidR="00E733BA" w:rsidRPr="00B007E8">
        <w:rPr>
          <w:b/>
        </w:rPr>
        <w:t>Results</w:t>
      </w:r>
      <w:r w:rsidR="00AE7995">
        <w:rPr>
          <w:b/>
        </w:rPr>
        <w:t xml:space="preserve"> and Discussion</w:t>
      </w:r>
    </w:p>
    <w:p w14:paraId="3E6C4CFD" w14:textId="77777777" w:rsidR="00E8758B" w:rsidRDefault="00E8758B" w:rsidP="00BE3C7A">
      <w:pPr>
        <w:pStyle w:val="BodytextIndented"/>
        <w:ind w:firstLine="0"/>
      </w:pPr>
    </w:p>
    <w:p w14:paraId="5BD25662" w14:textId="77777777" w:rsidR="00E8758B" w:rsidRPr="008C6A29" w:rsidRDefault="008C6A29" w:rsidP="008C6A29">
      <w:pPr>
        <w:pStyle w:val="BodytextIndented"/>
        <w:ind w:left="567" w:hanging="567"/>
        <w:rPr>
          <w:b/>
          <w:i/>
        </w:rPr>
      </w:pPr>
      <w:proofErr w:type="gramStart"/>
      <w:r>
        <w:rPr>
          <w:b/>
          <w:i/>
        </w:rPr>
        <w:t>3.1</w:t>
      </w:r>
      <w:r>
        <w:rPr>
          <w:b/>
          <w:i/>
        </w:rPr>
        <w:tab/>
        <w:t>Electrical</w:t>
      </w:r>
      <w:proofErr w:type="gramEnd"/>
    </w:p>
    <w:p w14:paraId="2F48CA97" w14:textId="77777777" w:rsidR="00FC30E6" w:rsidRDefault="008C6A29" w:rsidP="00BE3C7A">
      <w:pPr>
        <w:pStyle w:val="BodytextIndented"/>
        <w:ind w:firstLine="0"/>
      </w:pPr>
      <w:r>
        <w:t>Table 2 lists</w:t>
      </w:r>
      <w:r w:rsidR="0074635B">
        <w:t xml:space="preserve"> </w:t>
      </w:r>
      <w:r>
        <w:t xml:space="preserve">the </w:t>
      </w:r>
      <w:r w:rsidR="0074635B">
        <w:t>mean daily values for each month of ambient temperature, module</w:t>
      </w:r>
      <w:r w:rsidR="00B95C87">
        <w:t xml:space="preserve"> </w:t>
      </w:r>
      <w:r w:rsidR="0074635B">
        <w:t>temperatures, i</w:t>
      </w:r>
      <w:r w:rsidR="00B95C87">
        <w:t>rradiance</w:t>
      </w:r>
      <w:r w:rsidR="0074635B">
        <w:t xml:space="preserve"> and energy received on </w:t>
      </w:r>
      <w:r>
        <w:t xml:space="preserve">the </w:t>
      </w:r>
      <w:r w:rsidR="0074635B">
        <w:t>plane</w:t>
      </w:r>
      <w:r>
        <w:t>-</w:t>
      </w:r>
      <w:r w:rsidR="0074635B">
        <w:t>of</w:t>
      </w:r>
      <w:r>
        <w:t>-</w:t>
      </w:r>
      <w:r w:rsidR="0074635B">
        <w:t>array</w:t>
      </w:r>
      <w:r w:rsidR="00B12CCE">
        <w:t xml:space="preserve"> (POA)</w:t>
      </w:r>
      <w:r w:rsidR="0074635B">
        <w:t>.</w:t>
      </w:r>
    </w:p>
    <w:p w14:paraId="1690C64B" w14:textId="77777777" w:rsidR="00B41238" w:rsidRDefault="00B41238" w:rsidP="00BE3C7A">
      <w:pPr>
        <w:pStyle w:val="BodytextIndented"/>
        <w:ind w:firstLine="0"/>
      </w:pPr>
    </w:p>
    <w:p w14:paraId="4B13F101" w14:textId="77777777" w:rsidR="0074635B" w:rsidRDefault="00B12CCE" w:rsidP="00BE3C7A">
      <w:pPr>
        <w:pStyle w:val="BodytextIndented"/>
        <w:ind w:firstLine="0"/>
      </w:pPr>
      <w:r w:rsidRPr="00B12CCE">
        <w:rPr>
          <w:i/>
        </w:rPr>
        <w:t>Table 2</w:t>
      </w:r>
      <w:r>
        <w:t xml:space="preserve">: </w:t>
      </w:r>
      <w:r w:rsidR="00B41238">
        <w:t>Mean daily values of ambient temp</w:t>
      </w:r>
      <w:r>
        <w:t>erature, modules temperatures, i</w:t>
      </w:r>
      <w:r w:rsidR="00B41238">
        <w:t>rradiance</w:t>
      </w:r>
      <w:r>
        <w:t xml:space="preserve"> and POA </w:t>
      </w:r>
      <w:r w:rsidR="00B95C87">
        <w:t>energy for each month.</w:t>
      </w:r>
    </w:p>
    <w:tbl>
      <w:tblPr>
        <w:tblStyle w:val="TableGrid"/>
        <w:tblW w:w="91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7"/>
        <w:gridCol w:w="1134"/>
        <w:gridCol w:w="1134"/>
        <w:gridCol w:w="1134"/>
        <w:gridCol w:w="1135"/>
        <w:gridCol w:w="1134"/>
        <w:gridCol w:w="1080"/>
        <w:gridCol w:w="54"/>
        <w:gridCol w:w="1081"/>
        <w:gridCol w:w="54"/>
      </w:tblGrid>
      <w:tr w:rsidR="00A5075A" w14:paraId="699DC51C" w14:textId="77777777" w:rsidTr="008C6A29">
        <w:tc>
          <w:tcPr>
            <w:tcW w:w="1187" w:type="dxa"/>
            <w:tcBorders>
              <w:top w:val="single" w:sz="4" w:space="0" w:color="auto"/>
              <w:bottom w:val="single" w:sz="4" w:space="0" w:color="auto"/>
            </w:tcBorders>
          </w:tcPr>
          <w:p w14:paraId="57119153" w14:textId="77777777" w:rsidR="00A5075A" w:rsidRPr="0027214E" w:rsidRDefault="00A5075A" w:rsidP="008C6A29">
            <w:pPr>
              <w:pStyle w:val="BodytextIndented"/>
              <w:ind w:left="-108" w:firstLine="0"/>
              <w:jc w:val="left"/>
              <w:rPr>
                <w:b/>
              </w:rPr>
            </w:pPr>
            <w:r w:rsidRPr="0027214E">
              <w:rPr>
                <w:b/>
              </w:rPr>
              <w:t>Month</w:t>
            </w:r>
          </w:p>
        </w:tc>
        <w:tc>
          <w:tcPr>
            <w:tcW w:w="1134" w:type="dxa"/>
            <w:tcBorders>
              <w:top w:val="single" w:sz="4" w:space="0" w:color="auto"/>
              <w:bottom w:val="single" w:sz="4" w:space="0" w:color="auto"/>
            </w:tcBorders>
          </w:tcPr>
          <w:p w14:paraId="5800EE73" w14:textId="77777777" w:rsidR="00936501" w:rsidRPr="008C6A29" w:rsidRDefault="00A5075A" w:rsidP="008C6A29">
            <w:pPr>
              <w:pStyle w:val="BodytextIndented"/>
              <w:ind w:firstLine="0"/>
              <w:jc w:val="center"/>
              <w:rPr>
                <w:b/>
                <w:i/>
                <w:vertAlign w:val="subscript"/>
              </w:rPr>
            </w:pPr>
            <w:proofErr w:type="spellStart"/>
            <w:r w:rsidRPr="008C6A29">
              <w:rPr>
                <w:b/>
                <w:i/>
              </w:rPr>
              <w:t>T</w:t>
            </w:r>
            <w:r w:rsidRPr="008C6A29">
              <w:rPr>
                <w:b/>
                <w:i/>
                <w:vertAlign w:val="subscript"/>
              </w:rPr>
              <w:t>amb</w:t>
            </w:r>
            <w:proofErr w:type="spellEnd"/>
          </w:p>
          <w:p w14:paraId="36C88EB0" w14:textId="77777777" w:rsidR="00A5075A" w:rsidRPr="0027214E" w:rsidRDefault="00A5075A" w:rsidP="008C6A29">
            <w:pPr>
              <w:pStyle w:val="BodytextIndented"/>
              <w:ind w:firstLine="0"/>
              <w:jc w:val="center"/>
              <w:rPr>
                <w:b/>
              </w:rPr>
            </w:pPr>
            <w:r w:rsidRPr="0027214E">
              <w:rPr>
                <w:b/>
              </w:rPr>
              <w:t>(</w:t>
            </w:r>
            <w:r w:rsidRPr="0027214E">
              <w:rPr>
                <w:rFonts w:ascii="Calibri" w:hAnsi="Calibri" w:cs="Calibri"/>
                <w:b/>
              </w:rPr>
              <w:t>°</w:t>
            </w:r>
            <w:r w:rsidRPr="0027214E">
              <w:rPr>
                <w:b/>
              </w:rPr>
              <w:t>C)</w:t>
            </w:r>
          </w:p>
        </w:tc>
        <w:tc>
          <w:tcPr>
            <w:tcW w:w="1134" w:type="dxa"/>
            <w:tcBorders>
              <w:top w:val="single" w:sz="4" w:space="0" w:color="auto"/>
              <w:bottom w:val="single" w:sz="4" w:space="0" w:color="auto"/>
            </w:tcBorders>
          </w:tcPr>
          <w:p w14:paraId="4716D8C5" w14:textId="77777777" w:rsidR="00B12CCE" w:rsidRDefault="00A5075A" w:rsidP="00B12CCE">
            <w:pPr>
              <w:pStyle w:val="BodytextIndented"/>
              <w:ind w:firstLine="0"/>
              <w:jc w:val="center"/>
              <w:rPr>
                <w:b/>
                <w:i/>
                <w:vertAlign w:val="subscript"/>
              </w:rPr>
            </w:pPr>
            <w:r w:rsidRPr="008C6A29">
              <w:rPr>
                <w:b/>
                <w:i/>
              </w:rPr>
              <w:t>T</w:t>
            </w:r>
            <w:r w:rsidR="00B12CCE">
              <w:rPr>
                <w:b/>
                <w:i/>
                <w:vertAlign w:val="subscript"/>
              </w:rPr>
              <w:t>M1</w:t>
            </w:r>
          </w:p>
          <w:p w14:paraId="5286C772" w14:textId="77777777" w:rsidR="00A5075A" w:rsidRPr="0027214E" w:rsidRDefault="00A5075A" w:rsidP="00B12CCE">
            <w:pPr>
              <w:pStyle w:val="BodytextIndented"/>
              <w:ind w:firstLine="0"/>
              <w:jc w:val="center"/>
              <w:rPr>
                <w:b/>
              </w:rPr>
            </w:pPr>
            <w:r w:rsidRPr="0027214E">
              <w:rPr>
                <w:b/>
                <w:lang w:val="en-GB"/>
              </w:rPr>
              <w:t>(°C)</w:t>
            </w:r>
          </w:p>
        </w:tc>
        <w:tc>
          <w:tcPr>
            <w:tcW w:w="1134" w:type="dxa"/>
            <w:tcBorders>
              <w:top w:val="single" w:sz="4" w:space="0" w:color="auto"/>
              <w:bottom w:val="single" w:sz="4" w:space="0" w:color="auto"/>
            </w:tcBorders>
          </w:tcPr>
          <w:p w14:paraId="179E3E01" w14:textId="77777777" w:rsidR="00A5075A" w:rsidRPr="00B12CCE" w:rsidRDefault="00B12CCE" w:rsidP="008C6A29">
            <w:pPr>
              <w:pStyle w:val="BodytextIndented"/>
              <w:ind w:firstLine="0"/>
              <w:jc w:val="center"/>
              <w:rPr>
                <w:b/>
                <w:i/>
                <w:vertAlign w:val="subscript"/>
              </w:rPr>
            </w:pPr>
            <w:r>
              <w:rPr>
                <w:rFonts w:ascii="Symbol" w:hAnsi="Symbol"/>
                <w:b/>
                <w:i/>
              </w:rPr>
              <w:t></w:t>
            </w:r>
            <w:r>
              <w:rPr>
                <w:b/>
                <w:i/>
                <w:vertAlign w:val="subscript"/>
              </w:rPr>
              <w:t>M1</w:t>
            </w:r>
          </w:p>
          <w:p w14:paraId="2CBD5AD2" w14:textId="77777777" w:rsidR="00A5075A" w:rsidRPr="0027214E" w:rsidRDefault="004C72CC" w:rsidP="008C6A29">
            <w:pPr>
              <w:pStyle w:val="BodytextIndented"/>
              <w:ind w:firstLine="0"/>
              <w:jc w:val="center"/>
              <w:rPr>
                <w:b/>
              </w:rPr>
            </w:pPr>
            <w:r w:rsidRPr="0027214E">
              <w:rPr>
                <w:b/>
              </w:rPr>
              <w:t>(</w:t>
            </w:r>
            <w:r w:rsidR="00A5075A" w:rsidRPr="0027214E">
              <w:rPr>
                <w:b/>
              </w:rPr>
              <w:t>%)</w:t>
            </w:r>
          </w:p>
        </w:tc>
        <w:tc>
          <w:tcPr>
            <w:tcW w:w="1135" w:type="dxa"/>
            <w:tcBorders>
              <w:top w:val="single" w:sz="4" w:space="0" w:color="auto"/>
              <w:bottom w:val="single" w:sz="4" w:space="0" w:color="auto"/>
            </w:tcBorders>
          </w:tcPr>
          <w:p w14:paraId="7751F570" w14:textId="77777777" w:rsidR="00B12CCE" w:rsidRDefault="00A5075A" w:rsidP="00B12CCE">
            <w:pPr>
              <w:pStyle w:val="BodytextIndented"/>
              <w:ind w:firstLine="0"/>
              <w:jc w:val="center"/>
              <w:rPr>
                <w:b/>
                <w:i/>
                <w:vertAlign w:val="subscript"/>
              </w:rPr>
            </w:pPr>
            <w:r w:rsidRPr="00B12CCE">
              <w:rPr>
                <w:b/>
                <w:i/>
              </w:rPr>
              <w:t>T</w:t>
            </w:r>
            <w:r w:rsidR="00B12CCE">
              <w:rPr>
                <w:b/>
                <w:i/>
                <w:vertAlign w:val="subscript"/>
              </w:rPr>
              <w:t>M2</w:t>
            </w:r>
          </w:p>
          <w:p w14:paraId="1E41D103" w14:textId="77777777" w:rsidR="00A5075A" w:rsidRPr="0027214E" w:rsidRDefault="00A5075A" w:rsidP="00B12CCE">
            <w:pPr>
              <w:pStyle w:val="BodytextIndented"/>
              <w:ind w:firstLine="0"/>
              <w:jc w:val="center"/>
              <w:rPr>
                <w:b/>
              </w:rPr>
            </w:pPr>
            <w:r w:rsidRPr="0027214E">
              <w:rPr>
                <w:b/>
              </w:rPr>
              <w:t>(°C)</w:t>
            </w:r>
          </w:p>
        </w:tc>
        <w:tc>
          <w:tcPr>
            <w:tcW w:w="1134" w:type="dxa"/>
            <w:tcBorders>
              <w:top w:val="single" w:sz="4" w:space="0" w:color="auto"/>
              <w:bottom w:val="single" w:sz="4" w:space="0" w:color="auto"/>
            </w:tcBorders>
          </w:tcPr>
          <w:p w14:paraId="5DFC155D" w14:textId="77777777" w:rsidR="00B12CCE" w:rsidRPr="00B12CCE" w:rsidRDefault="00B12CCE" w:rsidP="00B12CCE">
            <w:pPr>
              <w:pStyle w:val="BodytextIndented"/>
              <w:ind w:firstLine="0"/>
              <w:jc w:val="center"/>
              <w:rPr>
                <w:b/>
                <w:i/>
                <w:vertAlign w:val="subscript"/>
              </w:rPr>
            </w:pPr>
            <w:r>
              <w:rPr>
                <w:rFonts w:ascii="Symbol" w:hAnsi="Symbol"/>
                <w:b/>
                <w:i/>
              </w:rPr>
              <w:t></w:t>
            </w:r>
            <w:r>
              <w:rPr>
                <w:b/>
                <w:i/>
                <w:vertAlign w:val="subscript"/>
              </w:rPr>
              <w:t>M2</w:t>
            </w:r>
          </w:p>
          <w:p w14:paraId="2ACC703F" w14:textId="77777777" w:rsidR="00A5075A" w:rsidRPr="0027214E" w:rsidRDefault="00B12CCE" w:rsidP="00B12CCE">
            <w:pPr>
              <w:pStyle w:val="BodytextIndented"/>
              <w:ind w:firstLine="0"/>
              <w:jc w:val="center"/>
              <w:rPr>
                <w:b/>
              </w:rPr>
            </w:pPr>
            <w:r w:rsidRPr="0027214E">
              <w:rPr>
                <w:b/>
              </w:rPr>
              <w:t>(%)</w:t>
            </w:r>
          </w:p>
        </w:tc>
        <w:tc>
          <w:tcPr>
            <w:tcW w:w="1134" w:type="dxa"/>
            <w:gridSpan w:val="2"/>
            <w:tcBorders>
              <w:top w:val="single" w:sz="4" w:space="0" w:color="auto"/>
              <w:bottom w:val="single" w:sz="4" w:space="0" w:color="auto"/>
            </w:tcBorders>
          </w:tcPr>
          <w:p w14:paraId="7FFAE418" w14:textId="77777777" w:rsidR="00A5075A" w:rsidRPr="00B12CCE" w:rsidRDefault="00B12CCE" w:rsidP="008C6A29">
            <w:pPr>
              <w:pStyle w:val="BodytextIndented"/>
              <w:ind w:firstLine="0"/>
              <w:jc w:val="center"/>
              <w:rPr>
                <w:b/>
                <w:i/>
              </w:rPr>
            </w:pPr>
            <w:r w:rsidRPr="00B12CCE">
              <w:rPr>
                <w:b/>
                <w:i/>
              </w:rPr>
              <w:t>H</w:t>
            </w:r>
          </w:p>
          <w:p w14:paraId="570D6A4C" w14:textId="77777777" w:rsidR="00A5075A" w:rsidRPr="0027214E" w:rsidRDefault="00A5075A" w:rsidP="008C6A29">
            <w:pPr>
              <w:pStyle w:val="BodytextIndented"/>
              <w:ind w:firstLine="0"/>
              <w:jc w:val="center"/>
              <w:rPr>
                <w:b/>
              </w:rPr>
            </w:pPr>
            <w:r w:rsidRPr="0027214E">
              <w:rPr>
                <w:b/>
              </w:rPr>
              <w:t>(W</w:t>
            </w:r>
            <w:r w:rsidR="004C72CC">
              <w:rPr>
                <w:b/>
              </w:rPr>
              <w:t>/</w:t>
            </w:r>
            <w:r w:rsidRPr="0027214E">
              <w:rPr>
                <w:b/>
              </w:rPr>
              <w:t>m</w:t>
            </w:r>
            <w:r w:rsidRPr="0027214E">
              <w:rPr>
                <w:b/>
                <w:vertAlign w:val="superscript"/>
              </w:rPr>
              <w:t>2</w:t>
            </w:r>
            <w:r w:rsidRPr="0027214E">
              <w:rPr>
                <w:b/>
              </w:rPr>
              <w:t>)</w:t>
            </w:r>
          </w:p>
        </w:tc>
        <w:tc>
          <w:tcPr>
            <w:tcW w:w="1135" w:type="dxa"/>
            <w:gridSpan w:val="2"/>
            <w:tcBorders>
              <w:top w:val="single" w:sz="4" w:space="0" w:color="auto"/>
              <w:bottom w:val="single" w:sz="4" w:space="0" w:color="auto"/>
            </w:tcBorders>
          </w:tcPr>
          <w:p w14:paraId="38B3CFEF" w14:textId="77777777" w:rsidR="00552415" w:rsidRPr="00B12CCE" w:rsidRDefault="00B12CCE" w:rsidP="00B12CCE">
            <w:pPr>
              <w:pStyle w:val="BodytextIndented"/>
              <w:ind w:left="-20" w:firstLine="0"/>
              <w:jc w:val="center"/>
              <w:rPr>
                <w:b/>
                <w:i/>
              </w:rPr>
            </w:pPr>
            <w:r w:rsidRPr="00B12CCE">
              <w:rPr>
                <w:b/>
                <w:i/>
              </w:rPr>
              <w:t>E</w:t>
            </w:r>
          </w:p>
          <w:p w14:paraId="653CD3FF" w14:textId="77777777" w:rsidR="00A5075A" w:rsidRPr="0027214E" w:rsidRDefault="00A5075A" w:rsidP="00B12CCE">
            <w:pPr>
              <w:pStyle w:val="BodytextIndented"/>
              <w:ind w:left="-20" w:firstLine="0"/>
              <w:jc w:val="center"/>
              <w:rPr>
                <w:b/>
              </w:rPr>
            </w:pPr>
            <w:r w:rsidRPr="0027214E">
              <w:rPr>
                <w:b/>
              </w:rPr>
              <w:t>(</w:t>
            </w:r>
            <w:proofErr w:type="gramStart"/>
            <w:r w:rsidRPr="0027214E">
              <w:rPr>
                <w:b/>
              </w:rPr>
              <w:t>kWh</w:t>
            </w:r>
            <w:proofErr w:type="gramEnd"/>
            <w:r w:rsidR="004C72CC">
              <w:rPr>
                <w:b/>
              </w:rPr>
              <w:t>/</w:t>
            </w:r>
            <w:r w:rsidRPr="0027214E">
              <w:rPr>
                <w:b/>
              </w:rPr>
              <w:t>m</w:t>
            </w:r>
            <w:r w:rsidRPr="0027214E">
              <w:rPr>
                <w:b/>
                <w:vertAlign w:val="superscript"/>
              </w:rPr>
              <w:t>2</w:t>
            </w:r>
            <w:r w:rsidRPr="0027214E">
              <w:rPr>
                <w:b/>
              </w:rPr>
              <w:t>)</w:t>
            </w:r>
          </w:p>
        </w:tc>
      </w:tr>
      <w:tr w:rsidR="00552415" w14:paraId="0B12B9C6" w14:textId="77777777" w:rsidTr="00B12CCE">
        <w:trPr>
          <w:gridAfter w:val="1"/>
          <w:wAfter w:w="54" w:type="dxa"/>
        </w:trPr>
        <w:tc>
          <w:tcPr>
            <w:tcW w:w="1187" w:type="dxa"/>
            <w:tcBorders>
              <w:top w:val="single" w:sz="4" w:space="0" w:color="auto"/>
            </w:tcBorders>
          </w:tcPr>
          <w:p w14:paraId="649FBD74" w14:textId="77777777" w:rsidR="00552415" w:rsidRDefault="00552415" w:rsidP="008C6A29">
            <w:pPr>
              <w:pStyle w:val="BodytextIndented"/>
              <w:ind w:left="-108" w:firstLine="0"/>
              <w:jc w:val="left"/>
            </w:pPr>
            <w:r>
              <w:t>September</w:t>
            </w:r>
          </w:p>
        </w:tc>
        <w:tc>
          <w:tcPr>
            <w:tcW w:w="1134" w:type="dxa"/>
            <w:tcBorders>
              <w:top w:val="single" w:sz="4" w:space="0" w:color="auto"/>
            </w:tcBorders>
          </w:tcPr>
          <w:p w14:paraId="5F33F5C3" w14:textId="77777777" w:rsidR="00552415" w:rsidRDefault="00552415" w:rsidP="00B12CCE">
            <w:pPr>
              <w:pStyle w:val="BodytextIndented"/>
              <w:ind w:firstLine="0"/>
              <w:jc w:val="center"/>
            </w:pPr>
            <w:r>
              <w:rPr>
                <w:lang w:val="en-GB"/>
              </w:rPr>
              <w:t>19.22</w:t>
            </w:r>
          </w:p>
        </w:tc>
        <w:tc>
          <w:tcPr>
            <w:tcW w:w="1134" w:type="dxa"/>
            <w:tcBorders>
              <w:top w:val="single" w:sz="4" w:space="0" w:color="auto"/>
            </w:tcBorders>
          </w:tcPr>
          <w:p w14:paraId="676825E2" w14:textId="77777777" w:rsidR="00552415" w:rsidRDefault="00552415" w:rsidP="00B12CCE">
            <w:pPr>
              <w:pStyle w:val="BodytextIndented"/>
              <w:ind w:firstLine="0"/>
              <w:jc w:val="center"/>
            </w:pPr>
            <w:r>
              <w:rPr>
                <w:lang w:val="en-GB"/>
              </w:rPr>
              <w:t>30.19</w:t>
            </w:r>
          </w:p>
        </w:tc>
        <w:tc>
          <w:tcPr>
            <w:tcW w:w="1134" w:type="dxa"/>
            <w:tcBorders>
              <w:top w:val="single" w:sz="4" w:space="0" w:color="auto"/>
            </w:tcBorders>
          </w:tcPr>
          <w:p w14:paraId="21824C75" w14:textId="77777777" w:rsidR="00552415" w:rsidRPr="000E71CE" w:rsidRDefault="00552415" w:rsidP="008C6A29">
            <w:pPr>
              <w:jc w:val="center"/>
            </w:pPr>
            <w:r w:rsidRPr="000E71CE">
              <w:t>9.47</w:t>
            </w:r>
          </w:p>
        </w:tc>
        <w:tc>
          <w:tcPr>
            <w:tcW w:w="1135" w:type="dxa"/>
            <w:tcBorders>
              <w:top w:val="single" w:sz="4" w:space="0" w:color="auto"/>
            </w:tcBorders>
          </w:tcPr>
          <w:p w14:paraId="1EBBF9ED" w14:textId="77777777" w:rsidR="00552415" w:rsidRPr="00B41238" w:rsidRDefault="00552415" w:rsidP="00B12CCE">
            <w:pPr>
              <w:pStyle w:val="BodytextIndented"/>
              <w:ind w:firstLine="0"/>
              <w:jc w:val="center"/>
              <w:rPr>
                <w:lang w:val="en-GB"/>
              </w:rPr>
            </w:pPr>
            <w:r w:rsidRPr="00B41238">
              <w:rPr>
                <w:lang w:val="en-GB"/>
              </w:rPr>
              <w:t>22.70</w:t>
            </w:r>
          </w:p>
        </w:tc>
        <w:tc>
          <w:tcPr>
            <w:tcW w:w="1134" w:type="dxa"/>
            <w:tcBorders>
              <w:top w:val="single" w:sz="4" w:space="0" w:color="auto"/>
            </w:tcBorders>
          </w:tcPr>
          <w:p w14:paraId="2C6FAF46" w14:textId="77777777" w:rsidR="00552415" w:rsidRPr="000D28BE" w:rsidRDefault="00552415" w:rsidP="00B12CCE">
            <w:pPr>
              <w:jc w:val="center"/>
            </w:pPr>
            <w:r w:rsidRPr="000D28BE">
              <w:t>9.80</w:t>
            </w:r>
          </w:p>
        </w:tc>
        <w:tc>
          <w:tcPr>
            <w:tcW w:w="1080" w:type="dxa"/>
            <w:tcBorders>
              <w:top w:val="single" w:sz="4" w:space="0" w:color="auto"/>
            </w:tcBorders>
          </w:tcPr>
          <w:p w14:paraId="53A3D06B" w14:textId="77777777" w:rsidR="00552415" w:rsidRPr="00B41238" w:rsidRDefault="00552415" w:rsidP="00B12CCE">
            <w:pPr>
              <w:pStyle w:val="BodytextIndented"/>
              <w:ind w:right="-54" w:firstLine="0"/>
              <w:jc w:val="center"/>
              <w:rPr>
                <w:lang w:val="en-GB"/>
              </w:rPr>
            </w:pPr>
            <w:r>
              <w:rPr>
                <w:lang w:val="en-GB"/>
              </w:rPr>
              <w:t>548.60</w:t>
            </w:r>
          </w:p>
        </w:tc>
        <w:tc>
          <w:tcPr>
            <w:tcW w:w="1135" w:type="dxa"/>
            <w:gridSpan w:val="2"/>
            <w:tcBorders>
              <w:top w:val="single" w:sz="4" w:space="0" w:color="auto"/>
            </w:tcBorders>
          </w:tcPr>
          <w:p w14:paraId="4E7F775B" w14:textId="77777777" w:rsidR="00552415" w:rsidRDefault="00722595" w:rsidP="008C6A29">
            <w:pPr>
              <w:pStyle w:val="BodytextIndented"/>
              <w:ind w:firstLine="0"/>
              <w:jc w:val="center"/>
            </w:pPr>
            <w:r>
              <w:t>6.51</w:t>
            </w:r>
          </w:p>
        </w:tc>
      </w:tr>
      <w:tr w:rsidR="00552415" w14:paraId="3D4BA7DE" w14:textId="77777777" w:rsidTr="00B12CCE">
        <w:trPr>
          <w:gridAfter w:val="1"/>
          <w:wAfter w:w="54" w:type="dxa"/>
        </w:trPr>
        <w:tc>
          <w:tcPr>
            <w:tcW w:w="1187" w:type="dxa"/>
          </w:tcPr>
          <w:p w14:paraId="686DA0FE" w14:textId="77777777" w:rsidR="00552415" w:rsidRDefault="00552415" w:rsidP="008C6A29">
            <w:pPr>
              <w:pStyle w:val="BodytextIndented"/>
              <w:ind w:left="-108" w:firstLine="0"/>
              <w:jc w:val="left"/>
            </w:pPr>
            <w:r>
              <w:t>October</w:t>
            </w:r>
          </w:p>
        </w:tc>
        <w:tc>
          <w:tcPr>
            <w:tcW w:w="1134" w:type="dxa"/>
          </w:tcPr>
          <w:p w14:paraId="50C615BA" w14:textId="77777777" w:rsidR="00552415" w:rsidRPr="00ED7677" w:rsidRDefault="00552415" w:rsidP="00B12CCE">
            <w:pPr>
              <w:pStyle w:val="BodytextIndented"/>
              <w:ind w:firstLine="0"/>
              <w:jc w:val="center"/>
              <w:rPr>
                <w:lang w:val="en-GB"/>
              </w:rPr>
            </w:pPr>
            <w:r>
              <w:rPr>
                <w:lang w:val="en-GB"/>
              </w:rPr>
              <w:t>20.63</w:t>
            </w:r>
          </w:p>
        </w:tc>
        <w:tc>
          <w:tcPr>
            <w:tcW w:w="1134" w:type="dxa"/>
          </w:tcPr>
          <w:p w14:paraId="5A3C5829" w14:textId="77777777" w:rsidR="00552415" w:rsidRPr="00ED7677" w:rsidRDefault="00552415" w:rsidP="00B12CCE">
            <w:pPr>
              <w:pStyle w:val="BodytextIndented"/>
              <w:ind w:firstLine="0"/>
              <w:jc w:val="center"/>
              <w:rPr>
                <w:lang w:val="en-GB"/>
              </w:rPr>
            </w:pPr>
            <w:r>
              <w:rPr>
                <w:lang w:val="en-GB"/>
              </w:rPr>
              <w:t>30.44</w:t>
            </w:r>
          </w:p>
        </w:tc>
        <w:tc>
          <w:tcPr>
            <w:tcW w:w="1134" w:type="dxa"/>
          </w:tcPr>
          <w:p w14:paraId="580F03B2" w14:textId="77777777" w:rsidR="00552415" w:rsidRPr="000E71CE" w:rsidRDefault="00552415" w:rsidP="008C6A29">
            <w:pPr>
              <w:jc w:val="center"/>
            </w:pPr>
            <w:r w:rsidRPr="000E71CE">
              <w:t>7.34</w:t>
            </w:r>
          </w:p>
        </w:tc>
        <w:tc>
          <w:tcPr>
            <w:tcW w:w="1135" w:type="dxa"/>
          </w:tcPr>
          <w:p w14:paraId="530DA598" w14:textId="77777777" w:rsidR="00552415" w:rsidRPr="00ED7677" w:rsidRDefault="00552415" w:rsidP="00B12CCE">
            <w:pPr>
              <w:pStyle w:val="BodytextIndented"/>
              <w:ind w:firstLine="0"/>
              <w:jc w:val="center"/>
              <w:rPr>
                <w:lang w:val="en-GB"/>
              </w:rPr>
            </w:pPr>
            <w:r>
              <w:rPr>
                <w:lang w:val="en-GB"/>
              </w:rPr>
              <w:t>23.82</w:t>
            </w:r>
          </w:p>
        </w:tc>
        <w:tc>
          <w:tcPr>
            <w:tcW w:w="1134" w:type="dxa"/>
          </w:tcPr>
          <w:p w14:paraId="4D96A191" w14:textId="77777777" w:rsidR="00552415" w:rsidRPr="000D28BE" w:rsidRDefault="00552415" w:rsidP="00B12CCE">
            <w:pPr>
              <w:jc w:val="center"/>
            </w:pPr>
            <w:r w:rsidRPr="000D28BE">
              <w:t>9.83</w:t>
            </w:r>
          </w:p>
        </w:tc>
        <w:tc>
          <w:tcPr>
            <w:tcW w:w="1080" w:type="dxa"/>
          </w:tcPr>
          <w:p w14:paraId="26C1205A" w14:textId="77777777" w:rsidR="00552415" w:rsidRPr="00ED7677" w:rsidRDefault="00552415" w:rsidP="00B12CCE">
            <w:pPr>
              <w:pStyle w:val="BodytextIndented"/>
              <w:ind w:right="-54" w:firstLine="0"/>
              <w:jc w:val="center"/>
              <w:rPr>
                <w:lang w:val="en-GB"/>
              </w:rPr>
            </w:pPr>
            <w:r>
              <w:rPr>
                <w:lang w:val="en-GB"/>
              </w:rPr>
              <w:t>441.13</w:t>
            </w:r>
          </w:p>
        </w:tc>
        <w:tc>
          <w:tcPr>
            <w:tcW w:w="1135" w:type="dxa"/>
            <w:gridSpan w:val="2"/>
          </w:tcPr>
          <w:p w14:paraId="5A02ED04" w14:textId="77777777" w:rsidR="00552415" w:rsidRDefault="00552415" w:rsidP="008C6A29">
            <w:pPr>
              <w:pStyle w:val="BodytextIndented"/>
              <w:ind w:firstLine="0"/>
              <w:jc w:val="center"/>
            </w:pPr>
            <w:r>
              <w:t>5.69</w:t>
            </w:r>
          </w:p>
        </w:tc>
      </w:tr>
      <w:tr w:rsidR="00552415" w14:paraId="7C5E239D" w14:textId="77777777" w:rsidTr="00B12CCE">
        <w:trPr>
          <w:gridAfter w:val="1"/>
          <w:wAfter w:w="54" w:type="dxa"/>
        </w:trPr>
        <w:tc>
          <w:tcPr>
            <w:tcW w:w="1187" w:type="dxa"/>
          </w:tcPr>
          <w:p w14:paraId="1A73BB54" w14:textId="77777777" w:rsidR="00552415" w:rsidRDefault="00552415" w:rsidP="008C6A29">
            <w:pPr>
              <w:pStyle w:val="BodytextIndented"/>
              <w:ind w:left="-108" w:firstLine="0"/>
              <w:jc w:val="left"/>
            </w:pPr>
            <w:r>
              <w:t>November</w:t>
            </w:r>
          </w:p>
        </w:tc>
        <w:tc>
          <w:tcPr>
            <w:tcW w:w="1134" w:type="dxa"/>
          </w:tcPr>
          <w:p w14:paraId="64E64A86" w14:textId="77777777" w:rsidR="00552415" w:rsidRPr="004867D9" w:rsidRDefault="00552415" w:rsidP="00B12CCE">
            <w:pPr>
              <w:pStyle w:val="BodytextIndented"/>
              <w:ind w:firstLine="0"/>
              <w:jc w:val="center"/>
              <w:rPr>
                <w:lang w:val="en-GB"/>
              </w:rPr>
            </w:pPr>
            <w:r>
              <w:rPr>
                <w:lang w:val="en-GB"/>
              </w:rPr>
              <w:t>19.97</w:t>
            </w:r>
          </w:p>
        </w:tc>
        <w:tc>
          <w:tcPr>
            <w:tcW w:w="1134" w:type="dxa"/>
          </w:tcPr>
          <w:p w14:paraId="71C5DBAE" w14:textId="77777777" w:rsidR="00552415" w:rsidRPr="004867D9" w:rsidRDefault="00552415" w:rsidP="00B12CCE">
            <w:pPr>
              <w:pStyle w:val="BodytextIndented"/>
              <w:ind w:firstLine="0"/>
              <w:jc w:val="center"/>
              <w:rPr>
                <w:lang w:val="en-GB"/>
              </w:rPr>
            </w:pPr>
            <w:r>
              <w:rPr>
                <w:lang w:val="en-GB"/>
              </w:rPr>
              <w:t>28.61</w:t>
            </w:r>
          </w:p>
        </w:tc>
        <w:tc>
          <w:tcPr>
            <w:tcW w:w="1134" w:type="dxa"/>
          </w:tcPr>
          <w:p w14:paraId="4E899CB8" w14:textId="77777777" w:rsidR="00552415" w:rsidRPr="000E71CE" w:rsidRDefault="00552415" w:rsidP="008C6A29">
            <w:pPr>
              <w:jc w:val="center"/>
            </w:pPr>
            <w:r w:rsidRPr="000E71CE">
              <w:t>9.42</w:t>
            </w:r>
          </w:p>
        </w:tc>
        <w:tc>
          <w:tcPr>
            <w:tcW w:w="1135" w:type="dxa"/>
          </w:tcPr>
          <w:p w14:paraId="104E1816" w14:textId="77777777" w:rsidR="00552415" w:rsidRPr="004867D9" w:rsidRDefault="00552415" w:rsidP="00B12CCE">
            <w:pPr>
              <w:pStyle w:val="BodytextIndented"/>
              <w:ind w:firstLine="0"/>
              <w:jc w:val="center"/>
              <w:rPr>
                <w:lang w:val="en-GB"/>
              </w:rPr>
            </w:pPr>
            <w:r>
              <w:rPr>
                <w:lang w:val="en-GB"/>
              </w:rPr>
              <w:t>24.08</w:t>
            </w:r>
          </w:p>
        </w:tc>
        <w:tc>
          <w:tcPr>
            <w:tcW w:w="1134" w:type="dxa"/>
          </w:tcPr>
          <w:p w14:paraId="1EFEC448" w14:textId="77777777" w:rsidR="00552415" w:rsidRPr="000D28BE" w:rsidRDefault="00552415" w:rsidP="00B12CCE">
            <w:pPr>
              <w:jc w:val="center"/>
            </w:pPr>
            <w:r w:rsidRPr="000D28BE">
              <w:t>9.33</w:t>
            </w:r>
          </w:p>
        </w:tc>
        <w:tc>
          <w:tcPr>
            <w:tcW w:w="1080" w:type="dxa"/>
          </w:tcPr>
          <w:p w14:paraId="2EBCD227" w14:textId="77777777" w:rsidR="00552415" w:rsidRPr="004867D9" w:rsidRDefault="00552415" w:rsidP="00B12CCE">
            <w:pPr>
              <w:pStyle w:val="BodytextIndented"/>
              <w:ind w:right="-54" w:firstLine="0"/>
              <w:jc w:val="center"/>
              <w:rPr>
                <w:lang w:val="en-GB"/>
              </w:rPr>
            </w:pPr>
            <w:r>
              <w:rPr>
                <w:lang w:val="en-GB"/>
              </w:rPr>
              <w:t>418.83</w:t>
            </w:r>
          </w:p>
        </w:tc>
        <w:tc>
          <w:tcPr>
            <w:tcW w:w="1135" w:type="dxa"/>
            <w:gridSpan w:val="2"/>
          </w:tcPr>
          <w:p w14:paraId="1CD6ED66" w14:textId="77777777" w:rsidR="00552415" w:rsidRDefault="00552415" w:rsidP="008C6A29">
            <w:pPr>
              <w:pStyle w:val="BodytextIndented"/>
              <w:ind w:firstLine="0"/>
              <w:jc w:val="center"/>
            </w:pPr>
            <w:r>
              <w:t>5.75</w:t>
            </w:r>
          </w:p>
        </w:tc>
      </w:tr>
      <w:tr w:rsidR="00552415" w14:paraId="797F8531" w14:textId="77777777" w:rsidTr="00B12CCE">
        <w:trPr>
          <w:gridAfter w:val="1"/>
          <w:wAfter w:w="54" w:type="dxa"/>
        </w:trPr>
        <w:tc>
          <w:tcPr>
            <w:tcW w:w="1187" w:type="dxa"/>
          </w:tcPr>
          <w:p w14:paraId="42893BC4" w14:textId="77777777" w:rsidR="00552415" w:rsidRDefault="00552415" w:rsidP="008C6A29">
            <w:pPr>
              <w:pStyle w:val="BodytextIndented"/>
              <w:ind w:left="-108" w:firstLine="0"/>
              <w:jc w:val="left"/>
            </w:pPr>
            <w:r>
              <w:t>December</w:t>
            </w:r>
          </w:p>
        </w:tc>
        <w:tc>
          <w:tcPr>
            <w:tcW w:w="1134" w:type="dxa"/>
          </w:tcPr>
          <w:p w14:paraId="25C6A040" w14:textId="77777777" w:rsidR="00552415" w:rsidRPr="005A0B3C" w:rsidRDefault="00552415" w:rsidP="00B12CCE">
            <w:pPr>
              <w:pStyle w:val="BodytextIndented"/>
              <w:ind w:firstLine="0"/>
              <w:jc w:val="center"/>
              <w:rPr>
                <w:lang w:val="en-GB"/>
              </w:rPr>
            </w:pPr>
            <w:r>
              <w:rPr>
                <w:lang w:val="en-GB"/>
              </w:rPr>
              <w:t>22.54</w:t>
            </w:r>
          </w:p>
        </w:tc>
        <w:tc>
          <w:tcPr>
            <w:tcW w:w="1134" w:type="dxa"/>
          </w:tcPr>
          <w:p w14:paraId="4FFE8D1E" w14:textId="77777777" w:rsidR="00552415" w:rsidRPr="005A0B3C" w:rsidRDefault="00552415" w:rsidP="00B12CCE">
            <w:pPr>
              <w:pStyle w:val="BodytextIndented"/>
              <w:ind w:firstLine="0"/>
              <w:jc w:val="center"/>
              <w:rPr>
                <w:lang w:val="en-GB"/>
              </w:rPr>
            </w:pPr>
            <w:r>
              <w:rPr>
                <w:lang w:val="en-GB"/>
              </w:rPr>
              <w:t>24.16</w:t>
            </w:r>
          </w:p>
        </w:tc>
        <w:tc>
          <w:tcPr>
            <w:tcW w:w="1134" w:type="dxa"/>
          </w:tcPr>
          <w:p w14:paraId="737897E1" w14:textId="77777777" w:rsidR="00552415" w:rsidRPr="000E71CE" w:rsidRDefault="00552415" w:rsidP="008C6A29">
            <w:pPr>
              <w:jc w:val="center"/>
            </w:pPr>
            <w:r w:rsidRPr="000E71CE">
              <w:t>8.29</w:t>
            </w:r>
          </w:p>
        </w:tc>
        <w:tc>
          <w:tcPr>
            <w:tcW w:w="1135" w:type="dxa"/>
          </w:tcPr>
          <w:p w14:paraId="746786B9" w14:textId="77777777" w:rsidR="00552415" w:rsidRPr="005A0B3C" w:rsidRDefault="00552415" w:rsidP="00B12CCE">
            <w:pPr>
              <w:pStyle w:val="BodytextIndented"/>
              <w:ind w:firstLine="0"/>
              <w:jc w:val="center"/>
              <w:rPr>
                <w:lang w:val="en-GB"/>
              </w:rPr>
            </w:pPr>
            <w:r>
              <w:rPr>
                <w:lang w:val="en-GB"/>
              </w:rPr>
              <w:t>27.17</w:t>
            </w:r>
          </w:p>
        </w:tc>
        <w:tc>
          <w:tcPr>
            <w:tcW w:w="1134" w:type="dxa"/>
          </w:tcPr>
          <w:p w14:paraId="42A86E4E" w14:textId="77777777" w:rsidR="00552415" w:rsidRDefault="00552415" w:rsidP="00B12CCE">
            <w:pPr>
              <w:jc w:val="center"/>
            </w:pPr>
            <w:r w:rsidRPr="000D28BE">
              <w:t>8.23</w:t>
            </w:r>
          </w:p>
        </w:tc>
        <w:tc>
          <w:tcPr>
            <w:tcW w:w="1080" w:type="dxa"/>
          </w:tcPr>
          <w:p w14:paraId="529C6CFE" w14:textId="77777777" w:rsidR="00552415" w:rsidRPr="005A0B3C" w:rsidRDefault="00552415" w:rsidP="00B12CCE">
            <w:pPr>
              <w:pStyle w:val="BodytextIndented"/>
              <w:ind w:right="-54" w:firstLine="0"/>
              <w:jc w:val="center"/>
              <w:rPr>
                <w:lang w:val="en-GB"/>
              </w:rPr>
            </w:pPr>
            <w:r>
              <w:rPr>
                <w:lang w:val="en-GB"/>
              </w:rPr>
              <w:t>380.30</w:t>
            </w:r>
          </w:p>
        </w:tc>
        <w:tc>
          <w:tcPr>
            <w:tcW w:w="1135" w:type="dxa"/>
            <w:gridSpan w:val="2"/>
          </w:tcPr>
          <w:p w14:paraId="560E3120" w14:textId="77777777" w:rsidR="00552415" w:rsidRDefault="00552415" w:rsidP="008C6A29">
            <w:pPr>
              <w:pStyle w:val="BodytextIndented"/>
              <w:ind w:firstLine="0"/>
              <w:jc w:val="center"/>
            </w:pPr>
            <w:r>
              <w:t>5.37</w:t>
            </w:r>
          </w:p>
        </w:tc>
      </w:tr>
      <w:tr w:rsidR="00552415" w14:paraId="7BF36700" w14:textId="77777777" w:rsidTr="00B12CCE">
        <w:trPr>
          <w:gridAfter w:val="1"/>
          <w:wAfter w:w="54" w:type="dxa"/>
        </w:trPr>
        <w:tc>
          <w:tcPr>
            <w:tcW w:w="1187" w:type="dxa"/>
            <w:tcBorders>
              <w:bottom w:val="single" w:sz="4" w:space="0" w:color="auto"/>
            </w:tcBorders>
          </w:tcPr>
          <w:p w14:paraId="2C25B093" w14:textId="77777777" w:rsidR="00552415" w:rsidRDefault="00552415" w:rsidP="008C6A29">
            <w:pPr>
              <w:pStyle w:val="BodytextIndented"/>
              <w:ind w:left="-108" w:firstLine="0"/>
              <w:jc w:val="left"/>
            </w:pPr>
            <w:r>
              <w:t>January</w:t>
            </w:r>
          </w:p>
        </w:tc>
        <w:tc>
          <w:tcPr>
            <w:tcW w:w="1134" w:type="dxa"/>
            <w:tcBorders>
              <w:bottom w:val="single" w:sz="4" w:space="0" w:color="auto"/>
            </w:tcBorders>
          </w:tcPr>
          <w:p w14:paraId="3CF3AFF9" w14:textId="77777777" w:rsidR="00552415" w:rsidRPr="003950B3" w:rsidRDefault="00552415" w:rsidP="00B12CCE">
            <w:pPr>
              <w:pStyle w:val="BodytextIndented"/>
              <w:ind w:firstLine="0"/>
              <w:jc w:val="center"/>
              <w:rPr>
                <w:lang w:val="en-GB"/>
              </w:rPr>
            </w:pPr>
            <w:r>
              <w:rPr>
                <w:lang w:val="en-GB"/>
              </w:rPr>
              <w:t>26.48</w:t>
            </w:r>
          </w:p>
        </w:tc>
        <w:tc>
          <w:tcPr>
            <w:tcW w:w="1134" w:type="dxa"/>
            <w:tcBorders>
              <w:bottom w:val="single" w:sz="4" w:space="0" w:color="auto"/>
            </w:tcBorders>
          </w:tcPr>
          <w:p w14:paraId="6BB2C29D" w14:textId="77777777" w:rsidR="00552415" w:rsidRPr="003950B3" w:rsidRDefault="00552415" w:rsidP="00B12CCE">
            <w:pPr>
              <w:pStyle w:val="BodytextIndented"/>
              <w:ind w:firstLine="0"/>
              <w:jc w:val="center"/>
              <w:rPr>
                <w:lang w:val="en-GB"/>
              </w:rPr>
            </w:pPr>
            <w:r>
              <w:rPr>
                <w:lang w:val="en-GB"/>
              </w:rPr>
              <w:t>31.84</w:t>
            </w:r>
          </w:p>
        </w:tc>
        <w:tc>
          <w:tcPr>
            <w:tcW w:w="1134" w:type="dxa"/>
            <w:tcBorders>
              <w:bottom w:val="single" w:sz="4" w:space="0" w:color="auto"/>
            </w:tcBorders>
          </w:tcPr>
          <w:p w14:paraId="43E0F519" w14:textId="77777777" w:rsidR="00552415" w:rsidRDefault="00552415" w:rsidP="008C6A29">
            <w:pPr>
              <w:jc w:val="center"/>
            </w:pPr>
            <w:r w:rsidRPr="000E71CE">
              <w:t>8.91</w:t>
            </w:r>
          </w:p>
        </w:tc>
        <w:tc>
          <w:tcPr>
            <w:tcW w:w="1135" w:type="dxa"/>
            <w:tcBorders>
              <w:bottom w:val="single" w:sz="4" w:space="0" w:color="auto"/>
            </w:tcBorders>
          </w:tcPr>
          <w:p w14:paraId="2827A7DC" w14:textId="77777777" w:rsidR="00552415" w:rsidRPr="003950B3" w:rsidRDefault="00552415" w:rsidP="00B12CCE">
            <w:pPr>
              <w:pStyle w:val="BodytextIndented"/>
              <w:ind w:firstLine="0"/>
              <w:jc w:val="center"/>
              <w:rPr>
                <w:lang w:val="en-GB"/>
              </w:rPr>
            </w:pPr>
            <w:r>
              <w:rPr>
                <w:lang w:val="en-GB"/>
              </w:rPr>
              <w:t>32.00</w:t>
            </w:r>
          </w:p>
        </w:tc>
        <w:tc>
          <w:tcPr>
            <w:tcW w:w="1134" w:type="dxa"/>
            <w:tcBorders>
              <w:bottom w:val="single" w:sz="4" w:space="0" w:color="auto"/>
            </w:tcBorders>
          </w:tcPr>
          <w:p w14:paraId="145F6C5B" w14:textId="77777777" w:rsidR="00552415" w:rsidRDefault="00552415" w:rsidP="00B12CCE">
            <w:pPr>
              <w:pStyle w:val="BodytextIndented"/>
              <w:ind w:firstLine="0"/>
              <w:jc w:val="center"/>
              <w:rPr>
                <w:lang w:val="en-GB"/>
              </w:rPr>
            </w:pPr>
            <w:r>
              <w:rPr>
                <w:lang w:val="en-GB"/>
              </w:rPr>
              <w:t>8.00</w:t>
            </w:r>
          </w:p>
        </w:tc>
        <w:tc>
          <w:tcPr>
            <w:tcW w:w="1080" w:type="dxa"/>
            <w:tcBorders>
              <w:bottom w:val="single" w:sz="4" w:space="0" w:color="auto"/>
            </w:tcBorders>
          </w:tcPr>
          <w:p w14:paraId="2BCC92D6" w14:textId="77777777" w:rsidR="00552415" w:rsidRPr="003950B3" w:rsidRDefault="00552415" w:rsidP="00B12CCE">
            <w:pPr>
              <w:pStyle w:val="BodytextIndented"/>
              <w:ind w:right="-54" w:firstLine="0"/>
              <w:jc w:val="center"/>
              <w:rPr>
                <w:lang w:val="en-GB"/>
              </w:rPr>
            </w:pPr>
            <w:r>
              <w:rPr>
                <w:lang w:val="en-GB"/>
              </w:rPr>
              <w:t>456.41</w:t>
            </w:r>
          </w:p>
        </w:tc>
        <w:tc>
          <w:tcPr>
            <w:tcW w:w="1135" w:type="dxa"/>
            <w:gridSpan w:val="2"/>
            <w:tcBorders>
              <w:bottom w:val="single" w:sz="4" w:space="0" w:color="auto"/>
            </w:tcBorders>
          </w:tcPr>
          <w:p w14:paraId="6229E2EC" w14:textId="77777777" w:rsidR="00552415" w:rsidRDefault="00552415" w:rsidP="008C6A29">
            <w:pPr>
              <w:pStyle w:val="BodytextIndented"/>
              <w:ind w:firstLine="0"/>
              <w:jc w:val="center"/>
            </w:pPr>
            <w:r>
              <w:t>6.34</w:t>
            </w:r>
          </w:p>
        </w:tc>
      </w:tr>
    </w:tbl>
    <w:p w14:paraId="43C36116" w14:textId="77777777" w:rsidR="0074635B" w:rsidRDefault="0074635B" w:rsidP="00BE3C7A">
      <w:pPr>
        <w:pStyle w:val="BodytextIndented"/>
        <w:ind w:firstLine="0"/>
        <w:jc w:val="center"/>
      </w:pPr>
    </w:p>
    <w:p w14:paraId="39706D06" w14:textId="77777777" w:rsidR="00AE7995" w:rsidRDefault="00AE7995" w:rsidP="00BE3C7A">
      <w:pPr>
        <w:pStyle w:val="BodytextIndented"/>
        <w:ind w:firstLine="0"/>
      </w:pPr>
      <w:r>
        <w:t>Figure 4 illustrates the parameters listed in table 2.</w:t>
      </w:r>
    </w:p>
    <w:p w14:paraId="29134577" w14:textId="77777777" w:rsidR="00AE7995" w:rsidRDefault="00AE7995" w:rsidP="00AE7995">
      <w:pPr>
        <w:pStyle w:val="BodytextIndented"/>
        <w:ind w:firstLine="0"/>
      </w:pPr>
    </w:p>
    <w:p w14:paraId="635CA83E" w14:textId="77777777" w:rsidR="004C72CC" w:rsidRDefault="00DF030A" w:rsidP="00BE3C7A">
      <w:pPr>
        <w:pStyle w:val="BodytextIndented"/>
        <w:ind w:firstLine="0"/>
        <w:jc w:val="center"/>
      </w:pPr>
      <w:r>
        <w:rPr>
          <w:noProof/>
        </w:rPr>
        <w:lastRenderedPageBreak/>
        <w:drawing>
          <wp:inline distT="0" distB="0" distL="0" distR="0" wp14:anchorId="60CB5D74" wp14:editId="74CD275E">
            <wp:extent cx="5718875" cy="275844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AF2D55" w14:textId="77777777" w:rsidR="00CB01FC" w:rsidRDefault="00CB01FC" w:rsidP="00BE3C7A">
      <w:pPr>
        <w:pStyle w:val="BodytextIndented"/>
        <w:ind w:firstLine="0"/>
        <w:rPr>
          <w:i/>
          <w:u w:val="single"/>
        </w:rPr>
      </w:pPr>
    </w:p>
    <w:p w14:paraId="7F6B1BC6" w14:textId="77777777" w:rsidR="00DF030A" w:rsidRDefault="00DF030A" w:rsidP="00BE3C7A">
      <w:pPr>
        <w:pStyle w:val="BodytextIndented"/>
        <w:ind w:firstLine="0"/>
      </w:pPr>
      <w:r w:rsidRPr="00CB01FC">
        <w:rPr>
          <w:i/>
          <w:u w:val="single"/>
        </w:rPr>
        <w:t>Figure 4</w:t>
      </w:r>
      <w:r w:rsidRPr="00CB01FC">
        <w:t>:</w:t>
      </w:r>
      <w:r>
        <w:t xml:space="preserve"> Monthly variation of tempera</w:t>
      </w:r>
      <w:r w:rsidR="00CB01FC">
        <w:t>ture, efficiency and irradiance</w:t>
      </w:r>
    </w:p>
    <w:p w14:paraId="4B156B8C" w14:textId="77777777" w:rsidR="00AF5F80" w:rsidRDefault="00AF5F80" w:rsidP="00BE3C7A">
      <w:pPr>
        <w:pStyle w:val="BodytextIndented"/>
        <w:ind w:firstLine="0"/>
      </w:pPr>
    </w:p>
    <w:p w14:paraId="0FCBB400" w14:textId="77777777" w:rsidR="006A5E94" w:rsidRDefault="001D023C" w:rsidP="00BE3C7A">
      <w:pPr>
        <w:pStyle w:val="BodytextIndented"/>
        <w:ind w:firstLine="0"/>
      </w:pPr>
      <w:r>
        <w:t xml:space="preserve">The irradiance in the month of September was </w:t>
      </w:r>
      <w:r w:rsidR="00CB01FC">
        <w:t>31</w:t>
      </w:r>
      <w:r>
        <w:t xml:space="preserve">% more as compared to the month of December. </w:t>
      </w:r>
      <w:r w:rsidR="00883BCD">
        <w:t>This</w:t>
      </w:r>
      <w:r w:rsidR="005878DC">
        <w:t xml:space="preserve"> </w:t>
      </w:r>
      <w:r w:rsidR="001B65FA">
        <w:t xml:space="preserve">was </w:t>
      </w:r>
      <w:r w:rsidR="006A5E94">
        <w:t>attributed to rains and cloud o</w:t>
      </w:r>
      <w:r w:rsidR="0008380A">
        <w:t>verc</w:t>
      </w:r>
      <w:r w:rsidR="00883BCD">
        <w:t>ast noted in the months of November</w:t>
      </w:r>
      <w:r w:rsidR="005878DC">
        <w:t xml:space="preserve"> </w:t>
      </w:r>
      <w:r w:rsidR="00CB01FC">
        <w:t xml:space="preserve">and December </w:t>
      </w:r>
      <w:r w:rsidR="005878DC">
        <w:t xml:space="preserve">as compared to the </w:t>
      </w:r>
      <w:r w:rsidR="00883BCD">
        <w:t xml:space="preserve">other </w:t>
      </w:r>
      <w:r w:rsidR="005878DC">
        <w:t>month</w:t>
      </w:r>
      <w:r w:rsidR="00883BCD">
        <w:t>s</w:t>
      </w:r>
      <w:r w:rsidR="0008380A">
        <w:t xml:space="preserve">. In </w:t>
      </w:r>
      <w:r w:rsidR="00512C50">
        <w:t xml:space="preserve">the months of September and October </w:t>
      </w:r>
      <w:r w:rsidR="006A5E94">
        <w:t xml:space="preserve">the back of module </w:t>
      </w:r>
      <w:r w:rsidR="00512C50">
        <w:t xml:space="preserve">temperatures </w:t>
      </w:r>
      <w:r w:rsidR="006A5E94">
        <w:t>for the dir</w:t>
      </w:r>
      <w:r w:rsidR="006C624D">
        <w:t>e</w:t>
      </w:r>
      <w:r w:rsidR="00A54EDA">
        <w:t>ctly water-</w:t>
      </w:r>
      <w:r w:rsidR="006C624D">
        <w:t>cooled module (M</w:t>
      </w:r>
      <w:r w:rsidR="006C624D" w:rsidRPr="00A54EDA">
        <w:rPr>
          <w:vertAlign w:val="subscript"/>
        </w:rPr>
        <w:t>2</w:t>
      </w:r>
      <w:r w:rsidR="006C624D">
        <w:t xml:space="preserve">) </w:t>
      </w:r>
      <w:r w:rsidR="000728F9">
        <w:t>indicated a</w:t>
      </w:r>
      <w:r w:rsidR="00883BCD">
        <w:t xml:space="preserve"> </w:t>
      </w:r>
      <w:r w:rsidR="006A5E94">
        <w:t>cooler back of module temperatures</w:t>
      </w:r>
      <w:r w:rsidR="006C624D">
        <w:t xml:space="preserve"> as compared to M</w:t>
      </w:r>
      <w:r w:rsidR="006C624D" w:rsidRPr="00A54EDA">
        <w:rPr>
          <w:vertAlign w:val="subscript"/>
        </w:rPr>
        <w:t>1</w:t>
      </w:r>
      <w:r w:rsidR="000728F9">
        <w:t>.</w:t>
      </w:r>
    </w:p>
    <w:p w14:paraId="14C52B2F" w14:textId="77777777" w:rsidR="003E5CD4" w:rsidRDefault="003E5CD4" w:rsidP="00BE3C7A">
      <w:pPr>
        <w:pStyle w:val="BodytextIndented"/>
        <w:ind w:firstLine="0"/>
      </w:pPr>
    </w:p>
    <w:p w14:paraId="6B1672FA" w14:textId="77777777" w:rsidR="00C95078" w:rsidRDefault="00CE0736" w:rsidP="00BE3C7A">
      <w:pPr>
        <w:pStyle w:val="BodytextIndented"/>
        <w:ind w:firstLine="0"/>
      </w:pPr>
      <w:r>
        <w:t xml:space="preserve">In order to </w:t>
      </w:r>
      <w:r w:rsidR="00483A79">
        <w:t xml:space="preserve">determine the performance ratio </w:t>
      </w:r>
      <w:r w:rsidR="00CB01FC">
        <w:t>(</w:t>
      </w:r>
      <w:r w:rsidR="00CB01FC" w:rsidRPr="00CB01FC">
        <w:rPr>
          <w:i/>
        </w:rPr>
        <w:t>P</w:t>
      </w:r>
      <w:r w:rsidR="00CB01FC" w:rsidRPr="00CB01FC">
        <w:rPr>
          <w:i/>
          <w:vertAlign w:val="subscript"/>
        </w:rPr>
        <w:t>R</w:t>
      </w:r>
      <w:r w:rsidR="00CB01FC">
        <w:t xml:space="preserve">) </w:t>
      </w:r>
      <w:r w:rsidR="00483A79">
        <w:t>of the modules</w:t>
      </w:r>
      <w:r w:rsidR="00CA1B67">
        <w:t xml:space="preserve"> equation (6</w:t>
      </w:r>
      <w:r w:rsidR="004C2B54">
        <w:t>) was used</w:t>
      </w:r>
      <w:r w:rsidR="00CB01FC">
        <w:t xml:space="preserve"> as illustrated in f</w:t>
      </w:r>
      <w:r w:rsidR="004C2B54">
        <w:t>igure 5.</w:t>
      </w:r>
      <w:r w:rsidR="00CA1B67">
        <w:t xml:space="preserve"> </w:t>
      </w:r>
      <w:r w:rsidR="00483A79">
        <w:t xml:space="preserve">The </w:t>
      </w:r>
      <w:r w:rsidR="00CB01FC" w:rsidRPr="00CB01FC">
        <w:rPr>
          <w:i/>
        </w:rPr>
        <w:t>P</w:t>
      </w:r>
      <w:r w:rsidR="00CB01FC" w:rsidRPr="00CB01FC">
        <w:rPr>
          <w:i/>
          <w:vertAlign w:val="subscript"/>
        </w:rPr>
        <w:t>R</w:t>
      </w:r>
      <w:r w:rsidR="00483A79">
        <w:t xml:space="preserve"> </w:t>
      </w:r>
      <w:r w:rsidR="00491220">
        <w:t>re</w:t>
      </w:r>
      <w:r w:rsidR="00483A79">
        <w:t xml:space="preserve">presented includes </w:t>
      </w:r>
      <w:r w:rsidR="00CB01FC" w:rsidRPr="00CB01FC">
        <w:rPr>
          <w:i/>
        </w:rPr>
        <w:t>P</w:t>
      </w:r>
      <w:r w:rsidR="00CB01FC" w:rsidRPr="00CB01FC">
        <w:rPr>
          <w:i/>
          <w:vertAlign w:val="subscript"/>
        </w:rPr>
        <w:t>R</w:t>
      </w:r>
      <w:r w:rsidR="00483A79">
        <w:t xml:space="preserve"> calculated using the rated efficiency for the SW80 module and the </w:t>
      </w:r>
      <w:r w:rsidR="00CB01FC" w:rsidRPr="00CB01FC">
        <w:rPr>
          <w:i/>
        </w:rPr>
        <w:t>P</w:t>
      </w:r>
      <w:r w:rsidR="00CB01FC" w:rsidRPr="00CB01FC">
        <w:rPr>
          <w:i/>
          <w:vertAlign w:val="subscript"/>
        </w:rPr>
        <w:t>R</w:t>
      </w:r>
      <w:r w:rsidR="00483A79">
        <w:t xml:space="preserve"> calculated using the determined efficiency for each </w:t>
      </w:r>
      <w:r w:rsidR="00C95078">
        <w:t xml:space="preserve">module every </w:t>
      </w:r>
      <w:r w:rsidR="00483A79">
        <w:t>month</w:t>
      </w:r>
      <w:r w:rsidR="00C95078">
        <w:t>.</w:t>
      </w:r>
      <w:r w:rsidR="00AE7995">
        <w:t xml:space="preserve"> </w:t>
      </w:r>
      <w:r w:rsidR="00AE7995">
        <w:t xml:space="preserve">To explain the trends in figure 5, the percentage differences between </w:t>
      </w:r>
      <w:r w:rsidR="00AE7995" w:rsidRPr="00115E0C">
        <w:rPr>
          <w:i/>
        </w:rPr>
        <w:t>P</w:t>
      </w:r>
      <w:r w:rsidR="00AE7995" w:rsidRPr="00115E0C">
        <w:rPr>
          <w:i/>
          <w:vertAlign w:val="subscript"/>
        </w:rPr>
        <w:t>R</w:t>
      </w:r>
      <w:r w:rsidR="00AE7995">
        <w:t xml:space="preserve"> for modules M</w:t>
      </w:r>
      <w:r w:rsidR="00AE7995" w:rsidRPr="00A54EDA">
        <w:rPr>
          <w:vertAlign w:val="subscript"/>
        </w:rPr>
        <w:t>1</w:t>
      </w:r>
      <w:r w:rsidR="00AE7995">
        <w:t xml:space="preserve"> and M</w:t>
      </w:r>
      <w:r w:rsidR="00AE7995" w:rsidRPr="00A54EDA">
        <w:rPr>
          <w:vertAlign w:val="subscript"/>
        </w:rPr>
        <w:t>2</w:t>
      </w:r>
      <w:r w:rsidR="00AE7995">
        <w:t xml:space="preserve">, and that between the modules and rated values </w:t>
      </w:r>
      <w:r w:rsidR="00AE7995">
        <w:t>a</w:t>
      </w:r>
      <w:r w:rsidR="00AE7995">
        <w:t>re as shown in figure 6.</w:t>
      </w:r>
    </w:p>
    <w:p w14:paraId="5745D6E8" w14:textId="77777777" w:rsidR="00CB01FC" w:rsidRDefault="005D07D8" w:rsidP="00BE3C7A">
      <w:pPr>
        <w:pStyle w:val="BodytextIndented"/>
        <w:ind w:firstLine="0"/>
      </w:pPr>
      <w:r>
        <w:rPr>
          <w:noProof/>
        </w:rPr>
        <w:drawing>
          <wp:anchor distT="0" distB="0" distL="114300" distR="114300" simplePos="0" relativeHeight="251667456" behindDoc="0" locked="0" layoutInCell="1" allowOverlap="1" wp14:anchorId="7D6C477E" wp14:editId="3DFFA0D6">
            <wp:simplePos x="0" y="0"/>
            <wp:positionH relativeFrom="column">
              <wp:posOffset>-84455</wp:posOffset>
            </wp:positionH>
            <wp:positionV relativeFrom="paragraph">
              <wp:posOffset>78740</wp:posOffset>
            </wp:positionV>
            <wp:extent cx="2889250" cy="2308860"/>
            <wp:effectExtent l="0" t="0" r="6350" b="254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2CA1985" wp14:editId="6E41CCBE">
            <wp:simplePos x="0" y="0"/>
            <wp:positionH relativeFrom="column">
              <wp:posOffset>2879360</wp:posOffset>
            </wp:positionH>
            <wp:positionV relativeFrom="paragraph">
              <wp:posOffset>109220</wp:posOffset>
            </wp:positionV>
            <wp:extent cx="2955118" cy="2232025"/>
            <wp:effectExtent l="0" t="0" r="0" b="317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D526650" w14:textId="77777777" w:rsidR="005C6F37" w:rsidRDefault="005C6F37" w:rsidP="00BE3C7A">
      <w:pPr>
        <w:pStyle w:val="BodytextIndented"/>
        <w:ind w:firstLine="0"/>
        <w:jc w:val="center"/>
      </w:pPr>
    </w:p>
    <w:p w14:paraId="4D2BD158" w14:textId="77777777" w:rsidR="00950A7D" w:rsidRDefault="00950A7D" w:rsidP="00BE3C7A">
      <w:pPr>
        <w:pStyle w:val="BodytextIndented"/>
        <w:ind w:firstLine="0"/>
        <w:jc w:val="center"/>
      </w:pPr>
    </w:p>
    <w:p w14:paraId="250B0559" w14:textId="77777777" w:rsidR="00950A7D" w:rsidRDefault="00950A7D" w:rsidP="00BE3C7A">
      <w:pPr>
        <w:pStyle w:val="BodytextIndented"/>
        <w:ind w:firstLine="0"/>
        <w:jc w:val="center"/>
      </w:pPr>
    </w:p>
    <w:p w14:paraId="32D8DBC8" w14:textId="77777777" w:rsidR="00950A7D" w:rsidRDefault="00950A7D" w:rsidP="00BE3C7A">
      <w:pPr>
        <w:pStyle w:val="BodytextIndented"/>
        <w:ind w:firstLine="0"/>
        <w:jc w:val="center"/>
      </w:pPr>
    </w:p>
    <w:p w14:paraId="44746731" w14:textId="77777777" w:rsidR="00950A7D" w:rsidRDefault="00950A7D" w:rsidP="00BE3C7A">
      <w:pPr>
        <w:pStyle w:val="BodytextIndented"/>
        <w:ind w:firstLine="0"/>
        <w:jc w:val="center"/>
      </w:pPr>
    </w:p>
    <w:p w14:paraId="40A78CFB" w14:textId="77777777" w:rsidR="00950A7D" w:rsidRDefault="00950A7D" w:rsidP="00BE3C7A">
      <w:pPr>
        <w:pStyle w:val="BodytextIndented"/>
        <w:ind w:firstLine="0"/>
        <w:jc w:val="center"/>
      </w:pPr>
    </w:p>
    <w:p w14:paraId="76D84C47" w14:textId="77777777" w:rsidR="00950A7D" w:rsidRDefault="00950A7D" w:rsidP="00BE3C7A">
      <w:pPr>
        <w:pStyle w:val="BodytextIndented"/>
        <w:ind w:firstLine="0"/>
        <w:jc w:val="center"/>
      </w:pPr>
    </w:p>
    <w:p w14:paraId="62F32A7D" w14:textId="77777777" w:rsidR="00950A7D" w:rsidRDefault="00950A7D" w:rsidP="00BE3C7A">
      <w:pPr>
        <w:pStyle w:val="BodytextIndented"/>
        <w:ind w:firstLine="0"/>
        <w:jc w:val="center"/>
      </w:pPr>
    </w:p>
    <w:p w14:paraId="25B1F06D" w14:textId="77777777" w:rsidR="00950A7D" w:rsidRDefault="00950A7D" w:rsidP="00BE3C7A">
      <w:pPr>
        <w:pStyle w:val="BodytextIndented"/>
        <w:ind w:firstLine="0"/>
        <w:jc w:val="center"/>
      </w:pPr>
    </w:p>
    <w:p w14:paraId="36615878" w14:textId="77777777" w:rsidR="00950A7D" w:rsidRDefault="00950A7D" w:rsidP="00BE3C7A">
      <w:pPr>
        <w:pStyle w:val="BodytextIndented"/>
        <w:ind w:firstLine="0"/>
        <w:jc w:val="center"/>
      </w:pPr>
    </w:p>
    <w:p w14:paraId="4F8BC963" w14:textId="77777777" w:rsidR="00950A7D" w:rsidRDefault="00950A7D" w:rsidP="00BE3C7A">
      <w:pPr>
        <w:pStyle w:val="BodytextIndented"/>
        <w:ind w:firstLine="0"/>
        <w:jc w:val="center"/>
      </w:pPr>
    </w:p>
    <w:p w14:paraId="40B9B3FB" w14:textId="77777777" w:rsidR="00950A7D" w:rsidRDefault="00950A7D" w:rsidP="00BE3C7A">
      <w:pPr>
        <w:pStyle w:val="BodytextIndented"/>
        <w:ind w:firstLine="0"/>
        <w:jc w:val="center"/>
      </w:pPr>
    </w:p>
    <w:p w14:paraId="2F3A75EF" w14:textId="77777777" w:rsidR="00950A7D" w:rsidRDefault="00950A7D" w:rsidP="00BE3C7A">
      <w:pPr>
        <w:pStyle w:val="BodytextIndented"/>
        <w:ind w:firstLine="0"/>
        <w:jc w:val="center"/>
      </w:pPr>
    </w:p>
    <w:p w14:paraId="70CB0BD1" w14:textId="77777777" w:rsidR="00950A7D" w:rsidRDefault="00950A7D" w:rsidP="00BE3C7A">
      <w:pPr>
        <w:pStyle w:val="BodytextIndented"/>
        <w:ind w:firstLine="0"/>
        <w:jc w:val="center"/>
      </w:pPr>
    </w:p>
    <w:p w14:paraId="38914165" w14:textId="77777777" w:rsidR="00950A7D" w:rsidRDefault="005D07D8" w:rsidP="00AE7995">
      <w:pPr>
        <w:pStyle w:val="BodytextIndented"/>
        <w:tabs>
          <w:tab w:val="left" w:pos="4678"/>
        </w:tabs>
        <w:ind w:left="4680" w:hanging="4680"/>
      </w:pPr>
      <w:r w:rsidRPr="00115E0C">
        <w:rPr>
          <w:i/>
          <w:u w:val="single"/>
        </w:rPr>
        <w:t>Figure 5</w:t>
      </w:r>
      <w:r w:rsidRPr="00115E0C">
        <w:t>:</w:t>
      </w:r>
      <w:r>
        <w:t xml:space="preserve"> Performance ratio of the modules</w:t>
      </w:r>
      <w:r>
        <w:tab/>
      </w:r>
      <w:r w:rsidRPr="00A75514">
        <w:rPr>
          <w:i/>
          <w:u w:val="single"/>
        </w:rPr>
        <w:t>Figure 6</w:t>
      </w:r>
      <w:r w:rsidRPr="00A75514">
        <w:t>:</w:t>
      </w:r>
      <w:r>
        <w:t xml:space="preserve"> %</w:t>
      </w:r>
      <w:r w:rsidR="00AE7995" w:rsidRPr="00AE7995">
        <w:rPr>
          <w:i/>
        </w:rPr>
        <w:t>d</w:t>
      </w:r>
      <w:r w:rsidRPr="00AE7995">
        <w:rPr>
          <w:i/>
        </w:rPr>
        <w:t>iff</w:t>
      </w:r>
      <w:r>
        <w:t xml:space="preserve"> between Rated and modules M</w:t>
      </w:r>
      <w:r w:rsidRPr="00A54EDA">
        <w:rPr>
          <w:vertAlign w:val="subscript"/>
        </w:rPr>
        <w:t>1</w:t>
      </w:r>
      <w:r>
        <w:t xml:space="preserve"> and M</w:t>
      </w:r>
      <w:r w:rsidRPr="00A54EDA">
        <w:rPr>
          <w:vertAlign w:val="subscript"/>
        </w:rPr>
        <w:t>2</w:t>
      </w:r>
      <w:r>
        <w:t>, and between M</w:t>
      </w:r>
      <w:r w:rsidRPr="00A54EDA">
        <w:rPr>
          <w:vertAlign w:val="subscript"/>
        </w:rPr>
        <w:t>2</w:t>
      </w:r>
      <w:r>
        <w:t xml:space="preserve"> and M</w:t>
      </w:r>
      <w:r w:rsidRPr="00A54EDA">
        <w:rPr>
          <w:vertAlign w:val="subscript"/>
        </w:rPr>
        <w:t>1</w:t>
      </w:r>
      <w:r>
        <w:t>.</w:t>
      </w:r>
    </w:p>
    <w:p w14:paraId="37868BE5" w14:textId="77777777" w:rsidR="0075049D" w:rsidRDefault="0075049D" w:rsidP="00BE3C7A">
      <w:pPr>
        <w:pStyle w:val="BodytextIndented"/>
        <w:ind w:firstLine="0"/>
      </w:pPr>
    </w:p>
    <w:p w14:paraId="3FB19F9E" w14:textId="77777777" w:rsidR="00B54E0D" w:rsidRDefault="00B238D8" w:rsidP="00BE3C7A">
      <w:pPr>
        <w:pStyle w:val="BodytextIndented"/>
        <w:ind w:firstLine="0"/>
      </w:pPr>
      <w:r>
        <w:t xml:space="preserve">From figure </w:t>
      </w:r>
      <w:r w:rsidR="009C43CB">
        <w:t>6</w:t>
      </w:r>
      <w:r w:rsidR="00491220">
        <w:t xml:space="preserve"> it can be noted that </w:t>
      </w:r>
      <w:r w:rsidR="00F632E9">
        <w:t>M</w:t>
      </w:r>
      <w:r w:rsidR="00F632E9" w:rsidRPr="00A54EDA">
        <w:rPr>
          <w:vertAlign w:val="subscript"/>
        </w:rPr>
        <w:t>2</w:t>
      </w:r>
      <w:r w:rsidR="00491220">
        <w:t xml:space="preserve"> </w:t>
      </w:r>
      <w:r w:rsidR="00456793">
        <w:t>out</w:t>
      </w:r>
      <w:r w:rsidR="00A75514">
        <w:t xml:space="preserve"> </w:t>
      </w:r>
      <w:r w:rsidR="00456793">
        <w:t>performed M</w:t>
      </w:r>
      <w:r w:rsidR="00456793" w:rsidRPr="00A54EDA">
        <w:rPr>
          <w:vertAlign w:val="subscript"/>
        </w:rPr>
        <w:t>1</w:t>
      </w:r>
      <w:r w:rsidR="00456793">
        <w:t xml:space="preserve"> in the months of September</w:t>
      </w:r>
      <w:r w:rsidR="00A75514">
        <w:t xml:space="preserve"> (by 3.4%)</w:t>
      </w:r>
      <w:r w:rsidR="00456793">
        <w:t xml:space="preserve"> and October</w:t>
      </w:r>
      <w:r w:rsidR="00A75514">
        <w:t xml:space="preserve"> (by 25.3%)</w:t>
      </w:r>
      <w:r w:rsidR="00456793">
        <w:t xml:space="preserve">. </w:t>
      </w:r>
      <w:r w:rsidR="00B54E0D">
        <w:t>However in the months of November and December M</w:t>
      </w:r>
      <w:r w:rsidR="00B54E0D" w:rsidRPr="00A54EDA">
        <w:rPr>
          <w:vertAlign w:val="subscript"/>
        </w:rPr>
        <w:t>1</w:t>
      </w:r>
      <w:r w:rsidR="00A54EDA">
        <w:t xml:space="preserve"> </w:t>
      </w:r>
      <w:r w:rsidR="00B54E0D">
        <w:t>out</w:t>
      </w:r>
      <w:r w:rsidR="00A54EDA">
        <w:t xml:space="preserve"> </w:t>
      </w:r>
      <w:r w:rsidR="00491220">
        <w:t xml:space="preserve">performed </w:t>
      </w:r>
      <w:r w:rsidR="00B54E0D">
        <w:t>M</w:t>
      </w:r>
      <w:r w:rsidR="00B54E0D" w:rsidRPr="00A54EDA">
        <w:rPr>
          <w:vertAlign w:val="subscript"/>
        </w:rPr>
        <w:t>2</w:t>
      </w:r>
      <w:r w:rsidR="00B54E0D">
        <w:t xml:space="preserve"> by </w:t>
      </w:r>
      <w:r w:rsidR="00A54EDA">
        <w:t>1.0</w:t>
      </w:r>
      <w:r w:rsidR="00B54E0D">
        <w:t xml:space="preserve">% and </w:t>
      </w:r>
      <w:r w:rsidR="00A54EDA">
        <w:t>0.7</w:t>
      </w:r>
      <w:r w:rsidR="00B54E0D">
        <w:t xml:space="preserve">% respectively. </w:t>
      </w:r>
      <w:r w:rsidR="00A54EDA">
        <w:t>The w</w:t>
      </w:r>
      <w:r w:rsidR="00B54E0D">
        <w:t>orst performance of M</w:t>
      </w:r>
      <w:r w:rsidR="00B54E0D" w:rsidRPr="00A54EDA">
        <w:rPr>
          <w:vertAlign w:val="subscript"/>
        </w:rPr>
        <w:t>2</w:t>
      </w:r>
      <w:r w:rsidR="00B54E0D">
        <w:t xml:space="preserve"> was noted in January with M</w:t>
      </w:r>
      <w:r w:rsidR="00B54E0D" w:rsidRPr="00A54EDA">
        <w:rPr>
          <w:vertAlign w:val="subscript"/>
        </w:rPr>
        <w:t>1</w:t>
      </w:r>
      <w:r w:rsidR="00B54E0D">
        <w:t xml:space="preserve"> out</w:t>
      </w:r>
      <w:r w:rsidR="00A54EDA">
        <w:t xml:space="preserve"> </w:t>
      </w:r>
      <w:r w:rsidR="00B54E0D">
        <w:t>performing M</w:t>
      </w:r>
      <w:r w:rsidR="00B54E0D" w:rsidRPr="00A54EDA">
        <w:rPr>
          <w:vertAlign w:val="subscript"/>
        </w:rPr>
        <w:t>2</w:t>
      </w:r>
      <w:r w:rsidR="00A54EDA">
        <w:t xml:space="preserve"> by 11.3</w:t>
      </w:r>
      <w:r w:rsidR="00B54E0D">
        <w:t>%.</w:t>
      </w:r>
      <w:r w:rsidR="00AD309D">
        <w:t xml:space="preserve"> In January the average back of module temperature </w:t>
      </w:r>
      <w:r w:rsidR="00A54EDA">
        <w:t>for both modules were 32°C.</w:t>
      </w:r>
    </w:p>
    <w:p w14:paraId="1C45388F" w14:textId="77777777" w:rsidR="00A54EDA" w:rsidRDefault="00A54EDA" w:rsidP="00BE3C7A">
      <w:pPr>
        <w:pStyle w:val="BodytextIndented"/>
        <w:ind w:firstLine="0"/>
      </w:pPr>
    </w:p>
    <w:p w14:paraId="2697765B" w14:textId="77777777" w:rsidR="002B0188" w:rsidRDefault="00936501" w:rsidP="00BE3C7A">
      <w:pPr>
        <w:pStyle w:val="BodytextIndented"/>
        <w:ind w:firstLine="0"/>
      </w:pPr>
      <w:r>
        <w:t xml:space="preserve">The </w:t>
      </w:r>
      <w:r w:rsidR="00993C51">
        <w:t xml:space="preserve">average </w:t>
      </w:r>
      <w:r>
        <w:t xml:space="preserve">monthly </w:t>
      </w:r>
      <w:r w:rsidR="00BD3665">
        <w:t>maximum</w:t>
      </w:r>
      <w:r w:rsidR="002B0188">
        <w:t xml:space="preserve"> power output </w:t>
      </w:r>
      <w:r w:rsidR="00BA1DC5">
        <w:t>of the modules were</w:t>
      </w:r>
      <w:r w:rsidR="001E5BC5">
        <w:t xml:space="preserve"> determined around solar noon</w:t>
      </w:r>
      <w:r>
        <w:t xml:space="preserve"> </w:t>
      </w:r>
      <w:r w:rsidR="001E5BC5">
        <w:t xml:space="preserve">and </w:t>
      </w:r>
      <w:r w:rsidR="00A54EDA">
        <w:t>are</w:t>
      </w:r>
      <w:r w:rsidR="001E5BC5">
        <w:t xml:space="preserve"> </w:t>
      </w:r>
      <w:r>
        <w:t>shown</w:t>
      </w:r>
      <w:r w:rsidR="005F7022">
        <w:t xml:space="preserve"> in Figure 7</w:t>
      </w:r>
      <w:r w:rsidR="00A54EDA">
        <w:t xml:space="preserve"> below</w:t>
      </w:r>
      <w:r>
        <w:t>.</w:t>
      </w:r>
    </w:p>
    <w:p w14:paraId="1BA44193" w14:textId="77777777" w:rsidR="00A54EDA" w:rsidRPr="002B0188" w:rsidRDefault="00A54EDA" w:rsidP="00BE3C7A">
      <w:pPr>
        <w:pStyle w:val="BodytextIndented"/>
        <w:ind w:firstLine="0"/>
        <w:rPr>
          <w:bCs/>
          <w:lang w:val="en-GB"/>
        </w:rPr>
      </w:pPr>
    </w:p>
    <w:p w14:paraId="077466F1" w14:textId="77777777" w:rsidR="002B0188" w:rsidRDefault="00956390" w:rsidP="00A54EDA">
      <w:pPr>
        <w:pStyle w:val="BodytextIndented"/>
        <w:ind w:firstLine="0"/>
        <w:jc w:val="center"/>
        <w:rPr>
          <w:bCs/>
          <w:lang w:val="en-GB"/>
        </w:rPr>
      </w:pPr>
      <w:r>
        <w:rPr>
          <w:noProof/>
        </w:rPr>
        <w:drawing>
          <wp:inline distT="0" distB="0" distL="0" distR="0" wp14:anchorId="6D589586" wp14:editId="7A6D234C">
            <wp:extent cx="5811864" cy="2432685"/>
            <wp:effectExtent l="0" t="0" r="508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9DEA6B" w14:textId="77777777" w:rsidR="00A54EDA" w:rsidRPr="002B0188" w:rsidRDefault="00A54EDA" w:rsidP="00BE3C7A">
      <w:pPr>
        <w:pStyle w:val="BodytextIndented"/>
        <w:jc w:val="center"/>
        <w:rPr>
          <w:bCs/>
          <w:lang w:val="en-GB"/>
        </w:rPr>
      </w:pPr>
    </w:p>
    <w:p w14:paraId="2036CD8F" w14:textId="77777777" w:rsidR="002B0188" w:rsidRDefault="00B2416B" w:rsidP="00821C97">
      <w:pPr>
        <w:pStyle w:val="BodytextIndented"/>
        <w:ind w:firstLine="0"/>
        <w:rPr>
          <w:bCs/>
          <w:lang w:val="en-GB"/>
        </w:rPr>
      </w:pPr>
      <w:r w:rsidRPr="00821C97">
        <w:rPr>
          <w:bCs/>
          <w:i/>
          <w:u w:val="single"/>
          <w:lang w:val="en-GB"/>
        </w:rPr>
        <w:t>Figure 7</w:t>
      </w:r>
      <w:r w:rsidR="00821C97">
        <w:rPr>
          <w:bCs/>
          <w:lang w:val="en-GB"/>
        </w:rPr>
        <w:t xml:space="preserve">: </w:t>
      </w:r>
      <w:r w:rsidR="002B0188" w:rsidRPr="002B0188">
        <w:rPr>
          <w:bCs/>
          <w:lang w:val="en-GB"/>
        </w:rPr>
        <w:t>Normalised maximum power of the two</w:t>
      </w:r>
      <w:r w:rsidR="00821C97">
        <w:rPr>
          <w:bCs/>
          <w:lang w:val="en-GB"/>
        </w:rPr>
        <w:t xml:space="preserve"> modules</w:t>
      </w:r>
    </w:p>
    <w:p w14:paraId="7178B3BF" w14:textId="77777777" w:rsidR="002B0188" w:rsidRPr="002B0188" w:rsidRDefault="002B0188" w:rsidP="00821C97">
      <w:pPr>
        <w:pStyle w:val="BodytextIndented"/>
        <w:ind w:firstLine="0"/>
        <w:rPr>
          <w:bCs/>
          <w:lang w:val="en-GB"/>
        </w:rPr>
      </w:pPr>
    </w:p>
    <w:p w14:paraId="3E94AD8F" w14:textId="77777777" w:rsidR="00993C51" w:rsidRDefault="00821C97" w:rsidP="00BE3C7A">
      <w:pPr>
        <w:pStyle w:val="BodytextIndented"/>
        <w:ind w:firstLine="0"/>
        <w:rPr>
          <w:bCs/>
          <w:lang w:val="en-GB"/>
        </w:rPr>
      </w:pPr>
      <w:r>
        <w:rPr>
          <w:bCs/>
          <w:lang w:val="en-GB"/>
        </w:rPr>
        <w:t xml:space="preserve">From September to </w:t>
      </w:r>
      <w:r w:rsidR="005F7022">
        <w:rPr>
          <w:bCs/>
          <w:lang w:val="en-GB"/>
        </w:rPr>
        <w:t xml:space="preserve">October there was a </w:t>
      </w:r>
      <w:r>
        <w:rPr>
          <w:bCs/>
          <w:lang w:val="en-GB"/>
        </w:rPr>
        <w:t>28%</w:t>
      </w:r>
      <w:r w:rsidR="005F7022">
        <w:rPr>
          <w:bCs/>
          <w:lang w:val="en-GB"/>
        </w:rPr>
        <w:t xml:space="preserve"> drop in power output </w:t>
      </w:r>
      <w:r w:rsidR="00487234">
        <w:rPr>
          <w:bCs/>
          <w:lang w:val="en-GB"/>
        </w:rPr>
        <w:t>o</w:t>
      </w:r>
      <w:r>
        <w:rPr>
          <w:bCs/>
          <w:lang w:val="en-GB"/>
        </w:rPr>
        <w:t>f</w:t>
      </w:r>
      <w:r w:rsidR="00487234">
        <w:rPr>
          <w:bCs/>
          <w:lang w:val="en-GB"/>
        </w:rPr>
        <w:t xml:space="preserve"> M</w:t>
      </w:r>
      <w:r w:rsidR="00487234" w:rsidRPr="00821C97">
        <w:rPr>
          <w:bCs/>
          <w:vertAlign w:val="subscript"/>
          <w:lang w:val="en-GB"/>
        </w:rPr>
        <w:t>1</w:t>
      </w:r>
      <w:r w:rsidR="00487234">
        <w:rPr>
          <w:bCs/>
          <w:lang w:val="en-GB"/>
        </w:rPr>
        <w:t xml:space="preserve"> </w:t>
      </w:r>
      <w:r>
        <w:rPr>
          <w:bCs/>
          <w:lang w:val="en-GB"/>
        </w:rPr>
        <w:t>with no change in the power output of M</w:t>
      </w:r>
      <w:r w:rsidRPr="00821C97">
        <w:rPr>
          <w:bCs/>
          <w:vertAlign w:val="subscript"/>
          <w:lang w:val="en-GB"/>
        </w:rPr>
        <w:t>2</w:t>
      </w:r>
      <w:r>
        <w:rPr>
          <w:bCs/>
          <w:lang w:val="en-GB"/>
        </w:rPr>
        <w:t xml:space="preserve">. This constitutes the 25.3% difference </w:t>
      </w:r>
      <w:r w:rsidR="00993C51">
        <w:rPr>
          <w:bCs/>
          <w:lang w:val="en-GB"/>
        </w:rPr>
        <w:t>between M</w:t>
      </w:r>
      <w:r w:rsidR="00993C51" w:rsidRPr="00993C51">
        <w:rPr>
          <w:bCs/>
          <w:vertAlign w:val="subscript"/>
          <w:lang w:val="en-GB"/>
        </w:rPr>
        <w:t>2</w:t>
      </w:r>
      <w:r w:rsidR="00993C51">
        <w:rPr>
          <w:bCs/>
          <w:lang w:val="en-GB"/>
        </w:rPr>
        <w:t xml:space="preserve"> and M</w:t>
      </w:r>
      <w:r w:rsidR="00993C51" w:rsidRPr="00993C51">
        <w:rPr>
          <w:bCs/>
          <w:vertAlign w:val="subscript"/>
          <w:lang w:val="en-GB"/>
        </w:rPr>
        <w:t>1</w:t>
      </w:r>
      <w:r w:rsidR="00993C51">
        <w:rPr>
          <w:bCs/>
          <w:lang w:val="en-GB"/>
        </w:rPr>
        <w:t xml:space="preserve"> as depicted in figure 6.  Although the back-of-modules temperatures are constant over these two, the back-of-module temperature for M</w:t>
      </w:r>
      <w:r w:rsidR="00993C51" w:rsidRPr="00993C51">
        <w:rPr>
          <w:bCs/>
          <w:vertAlign w:val="subscript"/>
          <w:lang w:val="en-GB"/>
        </w:rPr>
        <w:t>2</w:t>
      </w:r>
      <w:r w:rsidR="00993C51">
        <w:rPr>
          <w:bCs/>
          <w:lang w:val="en-GB"/>
        </w:rPr>
        <w:t xml:space="preserve"> was significantly higher than the actual cell temperature, due to the cooling effect of the water, which is in direct contact with the back surface of the module.  Both modules </w:t>
      </w:r>
      <w:r w:rsidR="0083764A">
        <w:rPr>
          <w:bCs/>
          <w:lang w:val="en-GB"/>
        </w:rPr>
        <w:t>had a local maximum in November, which generally had clear skies.  The observed decrease in performance (~19%) November to December may be attributed to the fact that during these summer months, the irradiance may be high at solar noon with cloud cover and showers in the afternoon.  The lower average daily irradiance levels in figure 4 support this.</w:t>
      </w:r>
    </w:p>
    <w:p w14:paraId="68D3147F" w14:textId="77777777" w:rsidR="0083764A" w:rsidRDefault="0083764A" w:rsidP="00BE3C7A">
      <w:pPr>
        <w:pStyle w:val="BodytextIndented"/>
        <w:ind w:firstLine="0"/>
        <w:rPr>
          <w:bCs/>
          <w:lang w:val="en-GB"/>
        </w:rPr>
      </w:pPr>
    </w:p>
    <w:p w14:paraId="04C64C45" w14:textId="77777777" w:rsidR="00B516CF" w:rsidRPr="0083764A" w:rsidRDefault="0083764A" w:rsidP="0083764A">
      <w:pPr>
        <w:pStyle w:val="BodytextIndented"/>
        <w:ind w:left="567" w:hanging="567"/>
        <w:rPr>
          <w:b/>
          <w:i/>
        </w:rPr>
      </w:pPr>
      <w:r w:rsidRPr="0083764A">
        <w:rPr>
          <w:b/>
          <w:i/>
        </w:rPr>
        <w:t>3.2</w:t>
      </w:r>
      <w:r w:rsidRPr="0083764A">
        <w:rPr>
          <w:b/>
          <w:i/>
        </w:rPr>
        <w:tab/>
      </w:r>
      <w:r w:rsidR="00E8758B" w:rsidRPr="0083764A">
        <w:rPr>
          <w:b/>
          <w:i/>
        </w:rPr>
        <w:t>Thermal</w:t>
      </w:r>
      <w:r w:rsidR="00B516CF" w:rsidRPr="0083764A">
        <w:rPr>
          <w:b/>
          <w:i/>
        </w:rPr>
        <w:t xml:space="preserve"> Response</w:t>
      </w:r>
    </w:p>
    <w:p w14:paraId="46689768" w14:textId="5F994E1A" w:rsidR="00FC20E0" w:rsidRDefault="00E8758B" w:rsidP="00BE3C7A">
      <w:pPr>
        <w:pStyle w:val="BodytextIndented"/>
        <w:ind w:firstLine="0"/>
      </w:pPr>
      <w:r>
        <w:t xml:space="preserve">Thermosyphon systems </w:t>
      </w:r>
      <w:r w:rsidR="0083764A">
        <w:t>are</w:t>
      </w:r>
      <w:r>
        <w:t xml:space="preserve"> affected by variations </w:t>
      </w:r>
      <w:r w:rsidR="0083764A">
        <w:t>in</w:t>
      </w:r>
      <w:r>
        <w:t xml:space="preserve"> solar radiation, ambient temperatures, wind conditions, connecting pipe sizes and design </w:t>
      </w:r>
      <w:r w:rsidR="005E3CB9">
        <w:t>parameters [</w:t>
      </w:r>
      <w:r w:rsidR="00DF06C7">
        <w:t>7</w:t>
      </w:r>
      <w:r w:rsidR="00FC20E0">
        <w:t>]</w:t>
      </w:r>
      <w:r>
        <w:t>.</w:t>
      </w:r>
      <w:r w:rsidR="00A12306">
        <w:t xml:space="preserve"> </w:t>
      </w:r>
      <w:r w:rsidR="00E93367">
        <w:t xml:space="preserve">The daily </w:t>
      </w:r>
      <w:r w:rsidR="00A12306">
        <w:t>thermal efficiency of the</w:t>
      </w:r>
      <w:r w:rsidR="00FC20E0">
        <w:t xml:space="preserve"> system can be found using the relation</w:t>
      </w:r>
      <w:r w:rsidR="00826482">
        <w:t>ship [</w:t>
      </w:r>
      <w:r w:rsidR="00DF06C7">
        <w:t>7</w:t>
      </w:r>
      <w:r w:rsidR="00FC20E0">
        <w:t>],</w:t>
      </w:r>
    </w:p>
    <w:p w14:paraId="35854E4B" w14:textId="77777777" w:rsidR="00E93367" w:rsidRDefault="00E93367" w:rsidP="00BE3C7A">
      <w:pPr>
        <w:pStyle w:val="BodytextIndented"/>
        <w:ind w:firstLine="0"/>
      </w:pPr>
    </w:p>
    <w:p w14:paraId="56196118" w14:textId="77777777" w:rsidR="00E93367" w:rsidRDefault="00BE3C7A" w:rsidP="00BE3C7A">
      <w:pPr>
        <w:pStyle w:val="BodytextIndented"/>
        <w:ind w:left="2553" w:firstLine="851"/>
        <w:jc w:val="center"/>
      </w:pPr>
      <m:oMath>
        <m:sSub>
          <m:sSubPr>
            <m:ctrlPr>
              <w:rPr>
                <w:rFonts w:ascii="Cambria Math" w:hAnsi="Cambria Math"/>
                <w:i/>
              </w:rPr>
            </m:ctrlPr>
          </m:sSubPr>
          <m:e>
            <m:r>
              <w:rPr>
                <w:rFonts w:ascii="Cambria Math" w:hAnsi="Cambria Math"/>
              </w:rPr>
              <m:t>η</m:t>
            </m:r>
          </m:e>
          <m:sub>
            <m:r>
              <w:rPr>
                <w:rFonts w:ascii="Cambria Math" w:hAnsi="Cambria Math"/>
              </w:rPr>
              <m:t>th</m:t>
            </m:r>
          </m:sub>
        </m:sSub>
        <m:r>
          <w:rPr>
            <w:rFonts w:ascii="Cambria Math" w:hAnsi="Cambria Math"/>
          </w:rPr>
          <m:t>=</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p</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num>
          <m:den>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 xml:space="preserve"> H</m:t>
            </m:r>
          </m:den>
        </m:f>
      </m:oMath>
      <w:r w:rsidR="00E93367">
        <w:tab/>
      </w:r>
      <w:r w:rsidR="00E93367">
        <w:tab/>
      </w:r>
      <w:r w:rsidR="00E93367">
        <w:tab/>
      </w:r>
      <w:r w:rsidR="00F611AE">
        <w:tab/>
      </w:r>
      <w:r w:rsidR="00F611AE">
        <w:tab/>
        <w:t>(</w:t>
      </w:r>
      <w:r w:rsidR="00E93367">
        <w:t>10</w:t>
      </w:r>
      <w:r w:rsidR="00F611AE">
        <w:t>)</w:t>
      </w:r>
    </w:p>
    <w:p w14:paraId="26AECB5C" w14:textId="77777777" w:rsidR="007E235B" w:rsidRDefault="007E235B" w:rsidP="00950A7D">
      <w:pPr>
        <w:pStyle w:val="BodytextIndented"/>
        <w:ind w:firstLine="0"/>
      </w:pPr>
    </w:p>
    <w:p w14:paraId="1ABC42A5" w14:textId="77777777" w:rsidR="00937875" w:rsidRDefault="00E93367" w:rsidP="00BE3C7A">
      <w:pPr>
        <w:pStyle w:val="BodytextIndented"/>
        <w:ind w:firstLine="0"/>
      </w:pPr>
      <w:r>
        <w:t xml:space="preserve">Where </w:t>
      </w:r>
      <w:r w:rsidRPr="00950A7D">
        <w:rPr>
          <w:i/>
        </w:rPr>
        <w:t>m</w:t>
      </w:r>
      <w:r>
        <w:t xml:space="preserve">, </w:t>
      </w:r>
      <w:proofErr w:type="spellStart"/>
      <w:r w:rsidRPr="00950A7D">
        <w:rPr>
          <w:i/>
        </w:rPr>
        <w:t>C</w:t>
      </w:r>
      <w:r w:rsidRPr="00950A7D">
        <w:rPr>
          <w:i/>
          <w:vertAlign w:val="subscript"/>
        </w:rPr>
        <w:t>p</w:t>
      </w:r>
      <w:proofErr w:type="spellEnd"/>
      <w:r>
        <w:t xml:space="preserve">, </w:t>
      </w:r>
      <w:proofErr w:type="spellStart"/>
      <w:r w:rsidRPr="00950A7D">
        <w:rPr>
          <w:i/>
        </w:rPr>
        <w:t>T</w:t>
      </w:r>
      <w:r w:rsidRPr="00950A7D">
        <w:rPr>
          <w:i/>
          <w:vertAlign w:val="subscript"/>
        </w:rPr>
        <w:t>f</w:t>
      </w:r>
      <w:proofErr w:type="spellEnd"/>
      <w:r>
        <w:t xml:space="preserve">, </w:t>
      </w:r>
      <w:r w:rsidRPr="00950A7D">
        <w:rPr>
          <w:i/>
        </w:rPr>
        <w:t>T</w:t>
      </w:r>
      <w:r w:rsidRPr="00950A7D">
        <w:rPr>
          <w:i/>
          <w:vertAlign w:val="subscript"/>
        </w:rPr>
        <w:t>i</w:t>
      </w:r>
      <w:r w:rsidR="00826482">
        <w:t xml:space="preserve">, </w:t>
      </w:r>
      <w:r w:rsidR="00826482" w:rsidRPr="00950A7D">
        <w:rPr>
          <w:i/>
        </w:rPr>
        <w:t>A</w:t>
      </w:r>
      <w:r w:rsidR="00826482" w:rsidRPr="00950A7D">
        <w:rPr>
          <w:i/>
          <w:vertAlign w:val="subscript"/>
        </w:rPr>
        <w:t>c</w:t>
      </w:r>
      <w:r w:rsidR="00826482">
        <w:t xml:space="preserve">, </w:t>
      </w:r>
      <w:r w:rsidR="00826482" w:rsidRPr="00950A7D">
        <w:rPr>
          <w:i/>
        </w:rPr>
        <w:t>H</w:t>
      </w:r>
      <w:r>
        <w:t xml:space="preserve"> are the total </w:t>
      </w:r>
      <w:r w:rsidR="00950A7D">
        <w:t xml:space="preserve">fluid </w:t>
      </w:r>
      <w:r>
        <w:t>mass</w:t>
      </w:r>
      <w:r w:rsidR="0006369E">
        <w:t xml:space="preserve"> in the thermosyphon system</w:t>
      </w:r>
      <w:r>
        <w:t>, heat capacity, final and input temperatures</w:t>
      </w:r>
      <w:r w:rsidR="0006369E">
        <w:t xml:space="preserve"> in the storage tank</w:t>
      </w:r>
      <w:r>
        <w:t xml:space="preserve">, </w:t>
      </w:r>
      <w:r w:rsidR="0006369E">
        <w:t xml:space="preserve">collecting </w:t>
      </w:r>
      <w:r>
        <w:t>area of the</w:t>
      </w:r>
      <w:r w:rsidR="0006369E">
        <w:t xml:space="preserve"> PV module, and</w:t>
      </w:r>
      <w:r w:rsidR="007E235B">
        <w:t xml:space="preserve"> the daily total </w:t>
      </w:r>
      <w:r w:rsidR="00950A7D">
        <w:t>incident</w:t>
      </w:r>
      <w:r w:rsidR="007E235B">
        <w:t xml:space="preserve"> solar</w:t>
      </w:r>
      <w:r w:rsidR="00950A7D">
        <w:t xml:space="preserve"> </w:t>
      </w:r>
      <w:r w:rsidR="0006369E">
        <w:t>radiation on the collector surface from</w:t>
      </w:r>
      <w:r w:rsidR="00957DE4">
        <w:t xml:space="preserve"> </w:t>
      </w:r>
      <w:r w:rsidR="0006369E">
        <w:t>06</w:t>
      </w:r>
      <w:r w:rsidR="00950A7D">
        <w:t>h</w:t>
      </w:r>
      <w:r w:rsidR="0006369E">
        <w:t>00 to 16</w:t>
      </w:r>
      <w:r w:rsidR="00950A7D">
        <w:t>h00.</w:t>
      </w:r>
    </w:p>
    <w:p w14:paraId="43556C96" w14:textId="77777777" w:rsidR="00937875" w:rsidRDefault="00937875" w:rsidP="00BE3C7A">
      <w:pPr>
        <w:pStyle w:val="BodytextIndented"/>
        <w:ind w:firstLine="0"/>
      </w:pPr>
    </w:p>
    <w:p w14:paraId="3F339C9F" w14:textId="77777777" w:rsidR="00937875" w:rsidRDefault="00937875" w:rsidP="00BE3C7A">
      <w:pPr>
        <w:pStyle w:val="BodytextIndented"/>
        <w:ind w:firstLine="0"/>
      </w:pPr>
      <w:r w:rsidRPr="00937875">
        <w:t xml:space="preserve">The overall performance of the PTS can be determined by finding the total efficiency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o</m:t>
            </m:r>
          </m:sub>
        </m:sSub>
      </m:oMath>
      <w:r w:rsidRPr="00937875">
        <w:rPr>
          <w:lang w:val="en-GB"/>
        </w:rPr>
        <w:t xml:space="preserve"> </w:t>
      </w:r>
      <w:r w:rsidRPr="00937875">
        <w:t xml:space="preserve">given by equation (12) and energy saving efficiency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s</m:t>
            </m:r>
          </m:sub>
        </m:sSub>
      </m:oMath>
      <w:r w:rsidR="00950A7D">
        <w:t xml:space="preserve"> (13)</w:t>
      </w:r>
    </w:p>
    <w:p w14:paraId="3A0C4958" w14:textId="77777777" w:rsidR="00950A7D" w:rsidRPr="00937875" w:rsidRDefault="00950A7D" w:rsidP="00BE3C7A">
      <w:pPr>
        <w:pStyle w:val="BodytextIndented"/>
        <w:ind w:firstLine="0"/>
      </w:pPr>
    </w:p>
    <w:p w14:paraId="046676AF" w14:textId="77777777" w:rsidR="00937875" w:rsidRPr="00937875" w:rsidRDefault="00BE3C7A" w:rsidP="00BE3C7A">
      <w:pPr>
        <w:pStyle w:val="BodytextIndented"/>
        <w:ind w:left="2553" w:firstLine="851"/>
        <w:jc w:val="center"/>
      </w:pPr>
      <m:oMath>
        <m:sSub>
          <m:sSubPr>
            <m:ctrlPr>
              <w:rPr>
                <w:rFonts w:ascii="Cambria Math" w:hAnsi="Cambria Math"/>
                <w:i/>
              </w:rPr>
            </m:ctrlPr>
          </m:sSubPr>
          <m:e>
            <m:r>
              <w:rPr>
                <w:rFonts w:ascii="Cambria Math" w:hAnsi="Cambria Math"/>
              </w:rPr>
              <m:t>η</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th</m:t>
            </m:r>
          </m:sub>
        </m:sSub>
      </m:oMath>
      <w:r w:rsidR="00937875" w:rsidRPr="00937875">
        <w:tab/>
      </w:r>
      <w:r w:rsidR="00937875" w:rsidRPr="00937875">
        <w:tab/>
      </w:r>
      <w:r w:rsidR="00937875">
        <w:tab/>
      </w:r>
      <w:r w:rsidR="00937875">
        <w:tab/>
      </w:r>
      <w:r w:rsidR="00937875">
        <w:tab/>
      </w:r>
      <w:r w:rsidR="00937875" w:rsidRPr="00937875">
        <w:t>(12)</w:t>
      </w:r>
    </w:p>
    <w:p w14:paraId="69E3D683" w14:textId="77777777" w:rsidR="00937875" w:rsidRPr="00937875" w:rsidRDefault="00937875" w:rsidP="00950A7D">
      <w:pPr>
        <w:pStyle w:val="BodytextIndented"/>
        <w:ind w:firstLine="0"/>
      </w:pPr>
    </w:p>
    <w:p w14:paraId="64A94F9B" w14:textId="77777777" w:rsidR="00937875" w:rsidRPr="00937875" w:rsidRDefault="00937875" w:rsidP="00BE3C7A">
      <w:pPr>
        <w:pStyle w:val="BodytextIndented"/>
        <w:ind w:firstLine="0"/>
        <w:rPr>
          <w:lang w:val="en-ZA"/>
        </w:rPr>
      </w:pPr>
      <w:r w:rsidRPr="00937875">
        <w:t xml:space="preserve">Where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e</m:t>
            </m:r>
          </m:sub>
        </m:sSub>
      </m:oMath>
      <w:r w:rsidRPr="00937875">
        <w:rPr>
          <w:lang w:val="en-GB"/>
        </w:rPr>
        <w:t xml:space="preserv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th</m:t>
            </m:r>
          </m:sub>
        </m:sSub>
      </m:oMath>
      <w:r w:rsidRPr="00937875">
        <w:rPr>
          <w:lang w:val="en-GB"/>
        </w:rPr>
        <w:t>, are electrical efficiency, thermal efficiency of the P</w:t>
      </w:r>
      <w:r w:rsidR="00D95917">
        <w:rPr>
          <w:lang w:val="en-GB"/>
        </w:rPr>
        <w:t xml:space="preserve">TS. </w:t>
      </w:r>
      <w:r w:rsidRPr="00937875">
        <w:rPr>
          <w:lang w:val="en-ZA"/>
        </w:rPr>
        <w:t xml:space="preserve">The energy saving efficiency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s</m:t>
            </m:r>
          </m:sub>
        </m:sSub>
      </m:oMath>
      <w:r w:rsidRPr="00937875">
        <w:rPr>
          <w:lang w:val="en-GB"/>
        </w:rPr>
        <w:t xml:space="preserve"> </w:t>
      </w:r>
      <w:r w:rsidRPr="00937875">
        <w:rPr>
          <w:lang w:val="en-ZA"/>
        </w:rPr>
        <w:t>of PTS is given by equation (13).</w:t>
      </w:r>
    </w:p>
    <w:p w14:paraId="4E5FDC5A" w14:textId="77777777" w:rsidR="00D95917" w:rsidRDefault="00BE3C7A" w:rsidP="00AE7995">
      <w:pPr>
        <w:pStyle w:val="BodytextIndented"/>
        <w:ind w:left="2553" w:firstLine="851"/>
        <w:jc w:val="center"/>
        <w:rPr>
          <w:lang w:val="en-GB"/>
        </w:rPr>
      </w:pP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s</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e</m:t>
                </m:r>
              </m:sub>
            </m:sSub>
          </m:num>
          <m:den>
            <m:r>
              <w:rPr>
                <w:rFonts w:ascii="Cambria Math" w:hAnsi="Cambria Math"/>
                <w:lang w:val="en-GB"/>
              </w:rPr>
              <m:t>0.38</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th</m:t>
            </m:r>
          </m:sub>
        </m:sSub>
      </m:oMath>
      <w:r w:rsidR="00937875">
        <w:rPr>
          <w:lang w:val="en-GB"/>
        </w:rPr>
        <w:tab/>
      </w:r>
      <w:r w:rsidR="00937875">
        <w:rPr>
          <w:lang w:val="en-GB"/>
        </w:rPr>
        <w:tab/>
      </w:r>
      <w:r w:rsidR="00937875">
        <w:rPr>
          <w:lang w:val="en-GB"/>
        </w:rPr>
        <w:tab/>
      </w:r>
      <w:r w:rsidR="00937875">
        <w:rPr>
          <w:lang w:val="en-GB"/>
        </w:rPr>
        <w:tab/>
      </w:r>
      <w:r w:rsidR="00937875">
        <w:rPr>
          <w:lang w:val="en-GB"/>
        </w:rPr>
        <w:tab/>
      </w:r>
      <w:r w:rsidR="00937875" w:rsidRPr="00937875">
        <w:rPr>
          <w:lang w:val="en-GB"/>
        </w:rPr>
        <w:t>(13)</w:t>
      </w:r>
    </w:p>
    <w:p w14:paraId="4E9549E0" w14:textId="77777777" w:rsidR="00AE7995" w:rsidRPr="00937875" w:rsidRDefault="00AE7995" w:rsidP="00AE7995">
      <w:pPr>
        <w:pStyle w:val="BodytextIndented"/>
        <w:ind w:firstLine="0"/>
        <w:rPr>
          <w:lang w:val="en-GB"/>
        </w:rPr>
      </w:pPr>
    </w:p>
    <w:p w14:paraId="504006C4" w14:textId="61A2C7D4" w:rsidR="00387F04" w:rsidRDefault="00937875" w:rsidP="00BE3C7A">
      <w:pPr>
        <w:pStyle w:val="BodytextIndented"/>
        <w:ind w:firstLine="0"/>
        <w:rPr>
          <w:lang w:val="en-GB"/>
        </w:rPr>
      </w:pPr>
      <w:r w:rsidRPr="00937875">
        <w:rPr>
          <w:lang w:val="en-ZA"/>
        </w:rPr>
        <w:lastRenderedPageBreak/>
        <w:t xml:space="preserve">Where 0.38 is the electric efficiency of a thermal power </w:t>
      </w:r>
      <w:r w:rsidRPr="00937875">
        <w:rPr>
          <w:lang w:val="en-GB"/>
        </w:rPr>
        <w:t xml:space="preserve">station </w:t>
      </w:r>
      <w:r w:rsidRPr="00937875">
        <w:rPr>
          <w:lang w:val="en-ZA"/>
        </w:rPr>
        <w:t>used to gi</w:t>
      </w:r>
      <w:r w:rsidR="00950A7D">
        <w:rPr>
          <w:lang w:val="en-ZA"/>
        </w:rPr>
        <w:t xml:space="preserve">ve the energy saving of the PTS </w:t>
      </w:r>
      <w:r>
        <w:rPr>
          <w:lang w:val="en-ZA"/>
        </w:rPr>
        <w:t>[</w:t>
      </w:r>
      <w:r w:rsidR="00DF06C7">
        <w:rPr>
          <w:lang w:val="en-ZA"/>
        </w:rPr>
        <w:t>8</w:t>
      </w:r>
      <w:r w:rsidRPr="00937875">
        <w:rPr>
          <w:lang w:val="en-ZA"/>
        </w:rPr>
        <w:t xml:space="preserve">]. </w:t>
      </w:r>
      <w:r w:rsidR="00B161A6">
        <w:rPr>
          <w:lang w:val="en-GB"/>
        </w:rPr>
        <w:t>T</w:t>
      </w:r>
      <w:r w:rsidR="00E75C25">
        <w:rPr>
          <w:lang w:val="en-GB"/>
        </w:rPr>
        <w:t>he average mont</w:t>
      </w:r>
      <w:r w:rsidR="00B516CF">
        <w:rPr>
          <w:lang w:val="en-GB"/>
        </w:rPr>
        <w:t>hly thermal efficienc</w:t>
      </w:r>
      <w:r w:rsidR="00950A7D">
        <w:rPr>
          <w:lang w:val="en-GB"/>
        </w:rPr>
        <w:t>ies</w:t>
      </w:r>
      <w:r w:rsidR="00B516CF">
        <w:rPr>
          <w:lang w:val="en-GB"/>
        </w:rPr>
        <w:t xml:space="preserve"> of the P</w:t>
      </w:r>
      <w:r w:rsidR="00E75C25">
        <w:rPr>
          <w:lang w:val="en-GB"/>
        </w:rPr>
        <w:t>TS</w:t>
      </w:r>
      <w:r w:rsidR="00B161A6">
        <w:rPr>
          <w:lang w:val="en-GB"/>
        </w:rPr>
        <w:t xml:space="preserve"> are </w:t>
      </w:r>
      <w:r w:rsidR="00950A7D">
        <w:rPr>
          <w:lang w:val="en-GB"/>
        </w:rPr>
        <w:t>listed</w:t>
      </w:r>
      <w:r w:rsidR="00B161A6">
        <w:rPr>
          <w:lang w:val="en-GB"/>
        </w:rPr>
        <w:t xml:space="preserve"> on table 3</w:t>
      </w:r>
      <w:r w:rsidR="00CF7BF9">
        <w:rPr>
          <w:lang w:val="en-GB"/>
        </w:rPr>
        <w:t>.</w:t>
      </w:r>
    </w:p>
    <w:p w14:paraId="435078BA" w14:textId="77777777" w:rsidR="00826482" w:rsidRPr="00BB5C5A" w:rsidRDefault="00826482" w:rsidP="00BE3C7A">
      <w:pPr>
        <w:pStyle w:val="BodytextIndented"/>
        <w:ind w:firstLine="0"/>
        <w:rPr>
          <w:b/>
          <w:lang w:val="en-GB"/>
        </w:rPr>
      </w:pPr>
    </w:p>
    <w:p w14:paraId="01344427" w14:textId="7FB703D3" w:rsidR="00E75C25" w:rsidRDefault="00826482" w:rsidP="00BE3C7A">
      <w:pPr>
        <w:pStyle w:val="BodytextIndented"/>
        <w:ind w:firstLine="0"/>
      </w:pPr>
      <w:r w:rsidRPr="00DF06C7">
        <w:rPr>
          <w:i/>
          <w:lang w:val="en-GB"/>
        </w:rPr>
        <w:t>Table 3</w:t>
      </w:r>
      <w:r w:rsidR="00DF06C7">
        <w:rPr>
          <w:lang w:val="en-GB"/>
        </w:rPr>
        <w:t>:</w:t>
      </w:r>
      <w:r w:rsidR="00E75C25" w:rsidRPr="00BB5C5A">
        <w:rPr>
          <w:b/>
          <w:lang w:val="en-GB"/>
        </w:rPr>
        <w:t xml:space="preserve"> </w:t>
      </w:r>
      <w:r w:rsidR="00E75C25">
        <w:rPr>
          <w:lang w:val="en-GB"/>
        </w:rPr>
        <w:t xml:space="preserve">Average monthly </w:t>
      </w:r>
      <w:r w:rsidR="00950A7D">
        <w:rPr>
          <w:lang w:val="en-GB"/>
        </w:rPr>
        <w:t>electrical and thermal efficiencies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1061"/>
        <w:gridCol w:w="1047"/>
        <w:gridCol w:w="777"/>
        <w:gridCol w:w="992"/>
        <w:gridCol w:w="1134"/>
        <w:gridCol w:w="993"/>
        <w:gridCol w:w="708"/>
        <w:gridCol w:w="1134"/>
      </w:tblGrid>
      <w:tr w:rsidR="00950A7D" w:rsidRPr="00387F04" w14:paraId="2A6C38CB" w14:textId="77777777" w:rsidTr="00950A7D">
        <w:tc>
          <w:tcPr>
            <w:tcW w:w="1226" w:type="dxa"/>
            <w:tcBorders>
              <w:top w:val="single" w:sz="4" w:space="0" w:color="auto"/>
              <w:bottom w:val="single" w:sz="4" w:space="0" w:color="auto"/>
            </w:tcBorders>
          </w:tcPr>
          <w:p w14:paraId="4D2731B5" w14:textId="77777777" w:rsidR="00950A7D" w:rsidRPr="00387F04" w:rsidRDefault="00950A7D" w:rsidP="00950A7D">
            <w:pPr>
              <w:pStyle w:val="BodytextIndented"/>
              <w:ind w:left="-108" w:firstLine="0"/>
              <w:rPr>
                <w:b/>
              </w:rPr>
            </w:pPr>
            <w:r w:rsidRPr="00387F04">
              <w:rPr>
                <w:b/>
              </w:rPr>
              <w:t>Month</w:t>
            </w:r>
          </w:p>
        </w:tc>
        <w:tc>
          <w:tcPr>
            <w:tcW w:w="1061" w:type="dxa"/>
            <w:tcBorders>
              <w:top w:val="single" w:sz="4" w:space="0" w:color="auto"/>
              <w:bottom w:val="single" w:sz="4" w:space="0" w:color="auto"/>
            </w:tcBorders>
          </w:tcPr>
          <w:p w14:paraId="73AAC6AB" w14:textId="77777777" w:rsidR="00950A7D" w:rsidRDefault="00950A7D" w:rsidP="00950A7D">
            <w:pPr>
              <w:pStyle w:val="BodytextIndented"/>
              <w:ind w:firstLine="0"/>
              <w:jc w:val="center"/>
              <w:rPr>
                <w:b/>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oMath>
            </m:oMathPara>
          </w:p>
          <w:p w14:paraId="79947239" w14:textId="77777777" w:rsidR="00950A7D" w:rsidRPr="00387F04" w:rsidRDefault="00950A7D" w:rsidP="00950A7D">
            <w:pPr>
              <w:pStyle w:val="BodytextIndented"/>
              <w:ind w:firstLine="0"/>
              <w:jc w:val="center"/>
              <w:rPr>
                <w:b/>
              </w:rPr>
            </w:pPr>
            <w:r w:rsidRPr="00387F04">
              <w:rPr>
                <w:b/>
              </w:rPr>
              <w:t>(</w:t>
            </w:r>
            <w:r w:rsidRPr="00387F04">
              <w:rPr>
                <w:rFonts w:ascii="Calibri" w:hAnsi="Calibri" w:cs="Calibri"/>
                <w:b/>
              </w:rPr>
              <w:t>°</w:t>
            </w:r>
            <w:r w:rsidRPr="00387F04">
              <w:rPr>
                <w:b/>
              </w:rPr>
              <w:t>C)</w:t>
            </w:r>
          </w:p>
        </w:tc>
        <w:tc>
          <w:tcPr>
            <w:tcW w:w="1047" w:type="dxa"/>
            <w:tcBorders>
              <w:top w:val="single" w:sz="4" w:space="0" w:color="auto"/>
              <w:bottom w:val="single" w:sz="4" w:space="0" w:color="auto"/>
            </w:tcBorders>
          </w:tcPr>
          <w:p w14:paraId="4EEEE852" w14:textId="77777777" w:rsidR="00950A7D" w:rsidRPr="00937875" w:rsidRDefault="00950A7D" w:rsidP="00950A7D">
            <w:pPr>
              <w:pStyle w:val="BodytextIndented"/>
              <w:ind w:firstLine="0"/>
              <w:jc w:val="center"/>
              <w:rPr>
                <w:b/>
                <w:lang w:val="en-GB"/>
              </w:rPr>
            </w:pPr>
            <m:oMathPara>
              <m:oMath>
                <m:sSub>
                  <m:sSubPr>
                    <m:ctrlPr>
                      <w:rPr>
                        <w:rFonts w:ascii="Cambria Math" w:hAnsi="Cambria Math"/>
                        <w:b/>
                        <w:i/>
                        <w:lang w:val="en-GB"/>
                      </w:rPr>
                    </m:ctrlPr>
                  </m:sSubPr>
                  <m:e>
                    <m:r>
                      <m:rPr>
                        <m:sty m:val="bi"/>
                      </m:rPr>
                      <w:rPr>
                        <w:rFonts w:ascii="Cambria Math" w:hAnsi="Cambria Math"/>
                        <w:lang w:val="en-GB"/>
                      </w:rPr>
                      <m:t>T</m:t>
                    </m:r>
                  </m:e>
                  <m:sub>
                    <m:r>
                      <m:rPr>
                        <m:sty m:val="bi"/>
                      </m:rPr>
                      <w:rPr>
                        <w:rFonts w:ascii="Cambria Math" w:hAnsi="Cambria Math"/>
                        <w:lang w:val="en-GB"/>
                      </w:rPr>
                      <m:t>f</m:t>
                    </m:r>
                  </m:sub>
                </m:sSub>
              </m:oMath>
            </m:oMathPara>
          </w:p>
          <w:p w14:paraId="3E53761E" w14:textId="77777777" w:rsidR="00950A7D" w:rsidRPr="00937875" w:rsidRDefault="00950A7D" w:rsidP="00950A7D">
            <w:pPr>
              <w:pStyle w:val="BodytextIndented"/>
              <w:ind w:firstLine="0"/>
              <w:jc w:val="center"/>
              <w:rPr>
                <w:b/>
              </w:rPr>
            </w:pPr>
            <w:r w:rsidRPr="00387F04">
              <w:rPr>
                <w:b/>
              </w:rPr>
              <w:t>(</w:t>
            </w:r>
            <w:r w:rsidRPr="00387F04">
              <w:rPr>
                <w:rFonts w:ascii="Calibri" w:hAnsi="Calibri" w:cs="Calibri"/>
                <w:b/>
              </w:rPr>
              <w:t>°</w:t>
            </w:r>
            <w:r w:rsidRPr="00387F04">
              <w:rPr>
                <w:b/>
              </w:rPr>
              <w:t>C)</w:t>
            </w:r>
          </w:p>
        </w:tc>
        <w:tc>
          <w:tcPr>
            <w:tcW w:w="777" w:type="dxa"/>
            <w:tcBorders>
              <w:top w:val="single" w:sz="4" w:space="0" w:color="auto"/>
              <w:bottom w:val="single" w:sz="4" w:space="0" w:color="auto"/>
            </w:tcBorders>
          </w:tcPr>
          <w:p w14:paraId="22E73F0E" w14:textId="77777777" w:rsidR="00950A7D" w:rsidRPr="00950A7D" w:rsidRDefault="00950A7D" w:rsidP="00950A7D">
            <w:pPr>
              <w:pStyle w:val="BodytextIndented"/>
              <w:ind w:firstLine="0"/>
              <w:jc w:val="center"/>
              <w:rPr>
                <w:b/>
                <w:i/>
              </w:rPr>
            </w:pPr>
            <w:r w:rsidRPr="00950A7D">
              <w:rPr>
                <w:rFonts w:cs="Times"/>
                <w:b/>
                <w:i/>
              </w:rPr>
              <w:t>∆</w:t>
            </w:r>
            <w:r w:rsidRPr="00950A7D">
              <w:rPr>
                <w:b/>
                <w:i/>
              </w:rPr>
              <w:t>T</w:t>
            </w:r>
          </w:p>
          <w:p w14:paraId="1C6AD3FB" w14:textId="77777777" w:rsidR="00950A7D" w:rsidRPr="00387F04" w:rsidRDefault="00950A7D" w:rsidP="00950A7D">
            <w:pPr>
              <w:pStyle w:val="BodytextIndented"/>
              <w:ind w:firstLine="0"/>
              <w:jc w:val="center"/>
              <w:rPr>
                <w:b/>
              </w:rPr>
            </w:pPr>
            <w:r w:rsidRPr="00387F04">
              <w:rPr>
                <w:b/>
              </w:rPr>
              <w:t>(</w:t>
            </w:r>
            <w:r w:rsidRPr="00387F04">
              <w:rPr>
                <w:rFonts w:ascii="Calibri" w:hAnsi="Calibri" w:cs="Calibri"/>
                <w:b/>
              </w:rPr>
              <w:t>°</w:t>
            </w:r>
            <w:r w:rsidRPr="00387F04">
              <w:rPr>
                <w:b/>
              </w:rPr>
              <w:t>C)</w:t>
            </w:r>
          </w:p>
        </w:tc>
        <w:tc>
          <w:tcPr>
            <w:tcW w:w="992" w:type="dxa"/>
            <w:tcBorders>
              <w:top w:val="single" w:sz="4" w:space="0" w:color="auto"/>
              <w:bottom w:val="single" w:sz="4" w:space="0" w:color="auto"/>
            </w:tcBorders>
          </w:tcPr>
          <w:p w14:paraId="4952FA22" w14:textId="77777777" w:rsidR="00950A7D" w:rsidRDefault="00950A7D" w:rsidP="00950A7D">
            <w:pPr>
              <w:pStyle w:val="BodytextIndented"/>
              <w:ind w:firstLine="0"/>
              <w:jc w:val="center"/>
              <w:rPr>
                <w:b/>
                <w:lang w:val="en-GB"/>
              </w:rPr>
            </w:pPr>
            <m:oMathPara>
              <m:oMath>
                <m:sSub>
                  <m:sSubPr>
                    <m:ctrlPr>
                      <w:rPr>
                        <w:rFonts w:ascii="Cambria Math" w:hAnsi="Cambria Math"/>
                        <w:b/>
                        <w:i/>
                        <w:lang w:val="en-GB"/>
                      </w:rPr>
                    </m:ctrlPr>
                  </m:sSubPr>
                  <m:e>
                    <m:r>
                      <m:rPr>
                        <m:sty m:val="bi"/>
                      </m:rPr>
                      <w:rPr>
                        <w:rFonts w:ascii="Cambria Math" w:hAnsi="Cambria Math"/>
                        <w:lang w:val="en-GB"/>
                      </w:rPr>
                      <m:t>T</m:t>
                    </m:r>
                  </m:e>
                  <m:sub>
                    <m:r>
                      <m:rPr>
                        <m:sty m:val="bi"/>
                      </m:rPr>
                      <w:rPr>
                        <w:rFonts w:ascii="Cambria Math" w:hAnsi="Cambria Math"/>
                        <w:lang w:val="en-GB"/>
                      </w:rPr>
                      <m:t>a</m:t>
                    </m:r>
                  </m:sub>
                </m:sSub>
              </m:oMath>
            </m:oMathPara>
          </w:p>
          <w:p w14:paraId="0F52BBCD" w14:textId="77777777" w:rsidR="00950A7D" w:rsidRPr="00387F04" w:rsidRDefault="00950A7D" w:rsidP="00950A7D">
            <w:pPr>
              <w:pStyle w:val="BodytextIndented"/>
              <w:ind w:firstLine="0"/>
              <w:jc w:val="center"/>
              <w:rPr>
                <w:b/>
              </w:rPr>
            </w:pPr>
            <w:r w:rsidRPr="00387F04">
              <w:rPr>
                <w:b/>
              </w:rPr>
              <w:t>(</w:t>
            </w:r>
            <w:r w:rsidRPr="00387F04">
              <w:rPr>
                <w:rFonts w:ascii="Calibri" w:hAnsi="Calibri" w:cs="Calibri"/>
                <w:b/>
              </w:rPr>
              <w:t>°</w:t>
            </w:r>
            <w:r w:rsidRPr="00387F04">
              <w:rPr>
                <w:b/>
              </w:rPr>
              <w:t>C)</w:t>
            </w:r>
          </w:p>
        </w:tc>
        <w:tc>
          <w:tcPr>
            <w:tcW w:w="1134" w:type="dxa"/>
            <w:tcBorders>
              <w:top w:val="single" w:sz="4" w:space="0" w:color="auto"/>
              <w:bottom w:val="single" w:sz="4" w:space="0" w:color="auto"/>
            </w:tcBorders>
          </w:tcPr>
          <w:p w14:paraId="73FB6BF4" w14:textId="77777777" w:rsidR="00950A7D" w:rsidRPr="00387F04" w:rsidRDefault="00950A7D" w:rsidP="00950A7D">
            <w:pPr>
              <w:pStyle w:val="BodytextIndented"/>
              <w:ind w:firstLine="0"/>
              <w:jc w:val="center"/>
              <w:rPr>
                <w:b/>
              </w:rPr>
            </w:pPr>
            <w:r w:rsidRPr="00950A7D">
              <w:rPr>
                <w:b/>
                <w:i/>
              </w:rPr>
              <w:t>H</w:t>
            </w:r>
            <w:r w:rsidRPr="00387F04">
              <w:rPr>
                <w:b/>
              </w:rPr>
              <w:t xml:space="preserve"> (MJ/m</w:t>
            </w:r>
            <w:r w:rsidRPr="00387F04">
              <w:rPr>
                <w:b/>
                <w:vertAlign w:val="superscript"/>
              </w:rPr>
              <w:t>2</w:t>
            </w:r>
            <w:r w:rsidRPr="00387F04">
              <w:rPr>
                <w:b/>
              </w:rPr>
              <w:t>)</w:t>
            </w:r>
          </w:p>
        </w:tc>
        <w:tc>
          <w:tcPr>
            <w:tcW w:w="993" w:type="dxa"/>
            <w:tcBorders>
              <w:top w:val="single" w:sz="4" w:space="0" w:color="auto"/>
              <w:bottom w:val="single" w:sz="4" w:space="0" w:color="auto"/>
            </w:tcBorders>
          </w:tcPr>
          <w:p w14:paraId="0F697098" w14:textId="77777777" w:rsidR="00950A7D" w:rsidRDefault="00950A7D" w:rsidP="00950A7D">
            <w:pPr>
              <w:pStyle w:val="BodytextIndented"/>
              <w:ind w:firstLine="0"/>
              <w:jc w:val="center"/>
              <w:rPr>
                <w:b/>
                <w:lang w:val="en-GB"/>
              </w:rPr>
            </w:pPr>
            <w:r w:rsidRPr="00950A7D">
              <w:rPr>
                <w:rFonts w:ascii="Symbol" w:hAnsi="Symbol"/>
                <w:b/>
                <w:i/>
              </w:rPr>
              <w:t></w:t>
            </w:r>
            <w:proofErr w:type="spellStart"/>
            <w:r w:rsidRPr="00950A7D">
              <w:rPr>
                <w:b/>
                <w:i/>
                <w:vertAlign w:val="subscript"/>
              </w:rPr>
              <w:t>th</w:t>
            </w:r>
            <w:proofErr w:type="spellEnd"/>
          </w:p>
          <w:p w14:paraId="5B1141EC" w14:textId="77777777" w:rsidR="00950A7D" w:rsidRPr="00387F04" w:rsidRDefault="00950A7D" w:rsidP="00950A7D">
            <w:pPr>
              <w:pStyle w:val="BodytextIndented"/>
              <w:ind w:firstLine="0"/>
              <w:jc w:val="center"/>
              <w:rPr>
                <w:b/>
              </w:rPr>
            </w:pPr>
            <w:r w:rsidRPr="00950A7D">
              <w:rPr>
                <w:b/>
                <w:lang w:val="en-GB"/>
              </w:rPr>
              <w:t>(%</w:t>
            </w:r>
            <w:r>
              <w:rPr>
                <w:b/>
                <w:lang w:val="en-GB"/>
              </w:rPr>
              <w:t>)</w:t>
            </w:r>
          </w:p>
        </w:tc>
        <w:tc>
          <w:tcPr>
            <w:tcW w:w="708" w:type="dxa"/>
            <w:tcBorders>
              <w:top w:val="single" w:sz="4" w:space="0" w:color="auto"/>
              <w:bottom w:val="single" w:sz="4" w:space="0" w:color="auto"/>
            </w:tcBorders>
          </w:tcPr>
          <w:p w14:paraId="401AD83F" w14:textId="77777777" w:rsidR="00950A7D" w:rsidRDefault="00950A7D" w:rsidP="00950A7D">
            <w:pPr>
              <w:pStyle w:val="BodytextIndented"/>
              <w:ind w:firstLine="6"/>
              <w:jc w:val="center"/>
              <w:rPr>
                <w:b/>
                <w:lang w:val="en-GB"/>
              </w:rPr>
            </w:pPr>
            <w:r w:rsidRPr="00950A7D">
              <w:rPr>
                <w:rFonts w:ascii="Symbol" w:hAnsi="Symbol"/>
                <w:b/>
                <w:i/>
              </w:rPr>
              <w:t></w:t>
            </w:r>
            <w:r>
              <w:rPr>
                <w:b/>
                <w:i/>
                <w:vertAlign w:val="subscript"/>
              </w:rPr>
              <w:t>e</w:t>
            </w:r>
          </w:p>
          <w:p w14:paraId="60E6B6BC" w14:textId="77777777" w:rsidR="00950A7D" w:rsidRPr="00387F04" w:rsidRDefault="00950A7D" w:rsidP="00950A7D">
            <w:pPr>
              <w:pStyle w:val="BodytextIndented"/>
              <w:ind w:firstLine="6"/>
              <w:jc w:val="center"/>
              <w:rPr>
                <w:b/>
              </w:rPr>
            </w:pPr>
            <w:r w:rsidRPr="00950A7D">
              <w:rPr>
                <w:b/>
                <w:lang w:val="en-GB"/>
              </w:rPr>
              <w:t>(%</w:t>
            </w:r>
            <w:r>
              <w:rPr>
                <w:b/>
                <w:lang w:val="en-GB"/>
              </w:rPr>
              <w:t>)</w:t>
            </w:r>
          </w:p>
        </w:tc>
        <w:tc>
          <w:tcPr>
            <w:tcW w:w="1134" w:type="dxa"/>
            <w:tcBorders>
              <w:top w:val="single" w:sz="4" w:space="0" w:color="auto"/>
              <w:bottom w:val="single" w:sz="4" w:space="0" w:color="auto"/>
            </w:tcBorders>
          </w:tcPr>
          <w:p w14:paraId="0DFD3FF0" w14:textId="77777777" w:rsidR="00950A7D" w:rsidRDefault="00950A7D" w:rsidP="00950A7D">
            <w:pPr>
              <w:pStyle w:val="BodytextIndented"/>
              <w:ind w:firstLine="0"/>
              <w:jc w:val="center"/>
              <w:rPr>
                <w:b/>
                <w:lang w:val="en-GB"/>
              </w:rPr>
            </w:pPr>
            <w:r w:rsidRPr="00950A7D">
              <w:rPr>
                <w:rFonts w:ascii="Symbol" w:hAnsi="Symbol"/>
                <w:b/>
                <w:i/>
              </w:rPr>
              <w:t></w:t>
            </w:r>
            <w:r>
              <w:rPr>
                <w:b/>
                <w:i/>
                <w:vertAlign w:val="subscript"/>
              </w:rPr>
              <w:t>s</w:t>
            </w:r>
          </w:p>
          <w:p w14:paraId="478A9468" w14:textId="77777777" w:rsidR="00950A7D" w:rsidRPr="00387F04" w:rsidRDefault="00950A7D" w:rsidP="00950A7D">
            <w:pPr>
              <w:pStyle w:val="BodytextIndented"/>
              <w:ind w:firstLine="0"/>
              <w:jc w:val="center"/>
              <w:rPr>
                <w:b/>
              </w:rPr>
            </w:pPr>
            <w:r w:rsidRPr="00950A7D">
              <w:rPr>
                <w:b/>
                <w:lang w:val="en-GB"/>
              </w:rPr>
              <w:t>(%</w:t>
            </w:r>
            <w:r>
              <w:rPr>
                <w:b/>
                <w:lang w:val="en-GB"/>
              </w:rPr>
              <w:t>)</w:t>
            </w:r>
          </w:p>
        </w:tc>
      </w:tr>
      <w:tr w:rsidR="00950A7D" w14:paraId="4689CB5E" w14:textId="77777777" w:rsidTr="00950A7D">
        <w:tc>
          <w:tcPr>
            <w:tcW w:w="1226" w:type="dxa"/>
            <w:tcBorders>
              <w:top w:val="single" w:sz="4" w:space="0" w:color="auto"/>
            </w:tcBorders>
          </w:tcPr>
          <w:p w14:paraId="14CB8383" w14:textId="77777777" w:rsidR="00937875" w:rsidRDefault="00937875" w:rsidP="00950A7D">
            <w:pPr>
              <w:pStyle w:val="BodytextIndented"/>
              <w:ind w:left="-108" w:firstLine="0"/>
            </w:pPr>
            <w:r>
              <w:t>September</w:t>
            </w:r>
          </w:p>
        </w:tc>
        <w:tc>
          <w:tcPr>
            <w:tcW w:w="1061" w:type="dxa"/>
            <w:tcBorders>
              <w:top w:val="single" w:sz="4" w:space="0" w:color="auto"/>
            </w:tcBorders>
          </w:tcPr>
          <w:p w14:paraId="5E81022B" w14:textId="77777777" w:rsidR="00937875" w:rsidRPr="0038632C" w:rsidRDefault="00937875" w:rsidP="00950A7D">
            <w:pPr>
              <w:pStyle w:val="BodytextIndented"/>
              <w:ind w:firstLine="0"/>
              <w:jc w:val="center"/>
              <w:rPr>
                <w:lang w:val="en-GB"/>
              </w:rPr>
            </w:pPr>
            <w:r>
              <w:rPr>
                <w:lang w:val="en-GB"/>
              </w:rPr>
              <w:t>10.89</w:t>
            </w:r>
          </w:p>
        </w:tc>
        <w:tc>
          <w:tcPr>
            <w:tcW w:w="1047" w:type="dxa"/>
            <w:tcBorders>
              <w:top w:val="single" w:sz="4" w:space="0" w:color="auto"/>
            </w:tcBorders>
          </w:tcPr>
          <w:p w14:paraId="163D13B3" w14:textId="77777777" w:rsidR="00937875" w:rsidRPr="0038632C" w:rsidRDefault="00937875" w:rsidP="00950A7D">
            <w:pPr>
              <w:pStyle w:val="BodytextIndented"/>
              <w:ind w:firstLine="0"/>
              <w:jc w:val="center"/>
              <w:rPr>
                <w:lang w:val="en-GB"/>
              </w:rPr>
            </w:pPr>
            <w:r>
              <w:rPr>
                <w:lang w:val="en-GB"/>
              </w:rPr>
              <w:t>28.64</w:t>
            </w:r>
          </w:p>
        </w:tc>
        <w:tc>
          <w:tcPr>
            <w:tcW w:w="777" w:type="dxa"/>
            <w:tcBorders>
              <w:top w:val="single" w:sz="4" w:space="0" w:color="auto"/>
            </w:tcBorders>
          </w:tcPr>
          <w:p w14:paraId="402978F8" w14:textId="77777777" w:rsidR="00937875" w:rsidRDefault="00937875" w:rsidP="00950A7D">
            <w:pPr>
              <w:pStyle w:val="BodytextIndented"/>
              <w:ind w:firstLine="0"/>
              <w:jc w:val="center"/>
            </w:pPr>
            <w:r>
              <w:t>17.75</w:t>
            </w:r>
          </w:p>
        </w:tc>
        <w:tc>
          <w:tcPr>
            <w:tcW w:w="992" w:type="dxa"/>
            <w:tcBorders>
              <w:top w:val="single" w:sz="4" w:space="0" w:color="auto"/>
            </w:tcBorders>
          </w:tcPr>
          <w:p w14:paraId="12128BC0" w14:textId="77777777" w:rsidR="00937875" w:rsidRPr="0038632C" w:rsidRDefault="00937875" w:rsidP="00950A7D">
            <w:pPr>
              <w:pStyle w:val="BodytextIndented"/>
              <w:ind w:firstLine="0"/>
              <w:jc w:val="center"/>
              <w:rPr>
                <w:lang w:val="en-GB"/>
              </w:rPr>
            </w:pPr>
            <w:r>
              <w:rPr>
                <w:lang w:val="en-GB"/>
              </w:rPr>
              <w:t>19.22</w:t>
            </w:r>
          </w:p>
        </w:tc>
        <w:tc>
          <w:tcPr>
            <w:tcW w:w="1134" w:type="dxa"/>
            <w:tcBorders>
              <w:top w:val="single" w:sz="4" w:space="0" w:color="auto"/>
            </w:tcBorders>
          </w:tcPr>
          <w:p w14:paraId="6C880D6E" w14:textId="77777777" w:rsidR="00937875" w:rsidRPr="0038632C" w:rsidRDefault="00937875" w:rsidP="00950A7D">
            <w:pPr>
              <w:pStyle w:val="BodytextIndented"/>
              <w:ind w:firstLine="0"/>
              <w:jc w:val="center"/>
              <w:rPr>
                <w:lang w:val="en-GB"/>
              </w:rPr>
            </w:pPr>
            <w:r w:rsidRPr="0038632C">
              <w:rPr>
                <w:lang w:val="en-GB"/>
              </w:rPr>
              <w:t>20.88</w:t>
            </w:r>
          </w:p>
        </w:tc>
        <w:tc>
          <w:tcPr>
            <w:tcW w:w="993" w:type="dxa"/>
            <w:tcBorders>
              <w:top w:val="single" w:sz="4" w:space="0" w:color="auto"/>
            </w:tcBorders>
          </w:tcPr>
          <w:p w14:paraId="3A781625" w14:textId="77777777" w:rsidR="00937875" w:rsidRPr="0038632C" w:rsidRDefault="00937875" w:rsidP="00950A7D">
            <w:pPr>
              <w:pStyle w:val="BodytextIndented"/>
              <w:ind w:firstLine="0"/>
              <w:jc w:val="center"/>
              <w:rPr>
                <w:lang w:val="en-GB"/>
              </w:rPr>
            </w:pPr>
            <w:r>
              <w:t>46</w:t>
            </w:r>
          </w:p>
        </w:tc>
        <w:tc>
          <w:tcPr>
            <w:tcW w:w="708" w:type="dxa"/>
            <w:tcBorders>
              <w:top w:val="single" w:sz="4" w:space="0" w:color="auto"/>
            </w:tcBorders>
          </w:tcPr>
          <w:p w14:paraId="2BF6538C" w14:textId="77777777" w:rsidR="00937875" w:rsidRDefault="00A5408E" w:rsidP="00950A7D">
            <w:pPr>
              <w:pStyle w:val="BodytextIndented"/>
              <w:ind w:firstLine="6"/>
              <w:jc w:val="center"/>
            </w:pPr>
            <w:r>
              <w:t>9.80</w:t>
            </w:r>
          </w:p>
        </w:tc>
        <w:tc>
          <w:tcPr>
            <w:tcW w:w="1134" w:type="dxa"/>
            <w:tcBorders>
              <w:top w:val="single" w:sz="4" w:space="0" w:color="auto"/>
            </w:tcBorders>
          </w:tcPr>
          <w:p w14:paraId="23EFEDFD" w14:textId="77777777" w:rsidR="00937875" w:rsidRDefault="00A5408E" w:rsidP="00950A7D">
            <w:pPr>
              <w:pStyle w:val="BodytextIndented"/>
              <w:ind w:firstLine="0"/>
              <w:jc w:val="center"/>
            </w:pPr>
            <w:r>
              <w:t>71.79</w:t>
            </w:r>
          </w:p>
        </w:tc>
      </w:tr>
      <w:tr w:rsidR="00950A7D" w14:paraId="73306C29" w14:textId="77777777" w:rsidTr="00950A7D">
        <w:tc>
          <w:tcPr>
            <w:tcW w:w="1226" w:type="dxa"/>
          </w:tcPr>
          <w:p w14:paraId="2F4BA16D" w14:textId="77777777" w:rsidR="00937875" w:rsidRDefault="00937875" w:rsidP="00950A7D">
            <w:pPr>
              <w:pStyle w:val="BodytextIndented"/>
              <w:ind w:left="-108" w:firstLine="0"/>
            </w:pPr>
            <w:r>
              <w:t>October</w:t>
            </w:r>
          </w:p>
        </w:tc>
        <w:tc>
          <w:tcPr>
            <w:tcW w:w="1061" w:type="dxa"/>
          </w:tcPr>
          <w:p w14:paraId="037CA8FE" w14:textId="77777777" w:rsidR="00937875" w:rsidRPr="009C747A" w:rsidRDefault="00937875" w:rsidP="00950A7D">
            <w:pPr>
              <w:pStyle w:val="BodytextIndented"/>
              <w:ind w:firstLine="0"/>
              <w:jc w:val="center"/>
              <w:rPr>
                <w:lang w:val="en-GB"/>
              </w:rPr>
            </w:pPr>
            <w:r>
              <w:rPr>
                <w:lang w:val="en-GB"/>
              </w:rPr>
              <w:t>12.66</w:t>
            </w:r>
          </w:p>
        </w:tc>
        <w:tc>
          <w:tcPr>
            <w:tcW w:w="1047" w:type="dxa"/>
          </w:tcPr>
          <w:p w14:paraId="606BDC4F" w14:textId="77777777" w:rsidR="00937875" w:rsidRPr="009C747A" w:rsidRDefault="00937875" w:rsidP="00950A7D">
            <w:pPr>
              <w:pStyle w:val="BodytextIndented"/>
              <w:ind w:firstLine="0"/>
              <w:jc w:val="center"/>
              <w:rPr>
                <w:lang w:val="en-GB"/>
              </w:rPr>
            </w:pPr>
            <w:r>
              <w:rPr>
                <w:lang w:val="en-GB"/>
              </w:rPr>
              <w:t>25.39</w:t>
            </w:r>
          </w:p>
        </w:tc>
        <w:tc>
          <w:tcPr>
            <w:tcW w:w="777" w:type="dxa"/>
          </w:tcPr>
          <w:p w14:paraId="24EF99D8" w14:textId="77777777" w:rsidR="00937875" w:rsidRPr="009C747A" w:rsidRDefault="00937875" w:rsidP="00950A7D">
            <w:pPr>
              <w:pStyle w:val="BodytextIndented"/>
              <w:ind w:firstLine="0"/>
              <w:jc w:val="center"/>
              <w:rPr>
                <w:lang w:val="en-GB"/>
              </w:rPr>
            </w:pPr>
            <w:r>
              <w:rPr>
                <w:lang w:val="en-GB"/>
              </w:rPr>
              <w:t>12.73</w:t>
            </w:r>
          </w:p>
        </w:tc>
        <w:tc>
          <w:tcPr>
            <w:tcW w:w="992" w:type="dxa"/>
          </w:tcPr>
          <w:p w14:paraId="16EDB077" w14:textId="77777777" w:rsidR="00937875" w:rsidRPr="009C747A" w:rsidRDefault="00937875" w:rsidP="00950A7D">
            <w:pPr>
              <w:pStyle w:val="BodytextIndented"/>
              <w:ind w:firstLine="0"/>
              <w:jc w:val="center"/>
              <w:rPr>
                <w:lang w:val="en-GB"/>
              </w:rPr>
            </w:pPr>
            <w:r>
              <w:rPr>
                <w:lang w:val="en-GB"/>
              </w:rPr>
              <w:t>20.63</w:t>
            </w:r>
          </w:p>
        </w:tc>
        <w:tc>
          <w:tcPr>
            <w:tcW w:w="1134" w:type="dxa"/>
          </w:tcPr>
          <w:p w14:paraId="3797732A" w14:textId="77777777" w:rsidR="00937875" w:rsidRPr="009C747A" w:rsidRDefault="00937875" w:rsidP="00950A7D">
            <w:pPr>
              <w:pStyle w:val="BodytextIndented"/>
              <w:ind w:firstLine="0"/>
              <w:jc w:val="center"/>
              <w:rPr>
                <w:lang w:val="en-GB"/>
              </w:rPr>
            </w:pPr>
            <w:r>
              <w:rPr>
                <w:lang w:val="en-GB"/>
              </w:rPr>
              <w:t>18.55</w:t>
            </w:r>
          </w:p>
        </w:tc>
        <w:tc>
          <w:tcPr>
            <w:tcW w:w="993" w:type="dxa"/>
          </w:tcPr>
          <w:p w14:paraId="4829D2FF" w14:textId="77777777" w:rsidR="00937875" w:rsidRPr="009C747A" w:rsidRDefault="00937875" w:rsidP="00950A7D">
            <w:pPr>
              <w:pStyle w:val="BodytextIndented"/>
              <w:ind w:firstLine="0"/>
              <w:jc w:val="center"/>
              <w:rPr>
                <w:lang w:val="en-GB"/>
              </w:rPr>
            </w:pPr>
            <w:r>
              <w:rPr>
                <w:lang w:val="en-GB"/>
              </w:rPr>
              <w:t>41</w:t>
            </w:r>
          </w:p>
        </w:tc>
        <w:tc>
          <w:tcPr>
            <w:tcW w:w="708" w:type="dxa"/>
          </w:tcPr>
          <w:p w14:paraId="07905815" w14:textId="77777777" w:rsidR="00937875" w:rsidRDefault="00A5408E" w:rsidP="00950A7D">
            <w:pPr>
              <w:pStyle w:val="BodytextIndented"/>
              <w:ind w:firstLine="6"/>
              <w:jc w:val="center"/>
              <w:rPr>
                <w:lang w:val="en-GB"/>
              </w:rPr>
            </w:pPr>
            <w:r>
              <w:rPr>
                <w:lang w:val="en-GB"/>
              </w:rPr>
              <w:t>9.83</w:t>
            </w:r>
          </w:p>
        </w:tc>
        <w:tc>
          <w:tcPr>
            <w:tcW w:w="1134" w:type="dxa"/>
          </w:tcPr>
          <w:p w14:paraId="478FD021" w14:textId="77777777" w:rsidR="00937875" w:rsidRDefault="00A5408E" w:rsidP="00950A7D">
            <w:pPr>
              <w:pStyle w:val="BodytextIndented"/>
              <w:ind w:firstLine="0"/>
              <w:jc w:val="center"/>
              <w:rPr>
                <w:lang w:val="en-GB"/>
              </w:rPr>
            </w:pPr>
            <w:r>
              <w:rPr>
                <w:lang w:val="en-GB"/>
              </w:rPr>
              <w:t>66.92</w:t>
            </w:r>
          </w:p>
        </w:tc>
      </w:tr>
      <w:tr w:rsidR="00950A7D" w14:paraId="763D131F" w14:textId="77777777" w:rsidTr="00950A7D">
        <w:tc>
          <w:tcPr>
            <w:tcW w:w="1226" w:type="dxa"/>
          </w:tcPr>
          <w:p w14:paraId="23B2497F" w14:textId="77777777" w:rsidR="00937875" w:rsidRDefault="00937875" w:rsidP="00950A7D">
            <w:pPr>
              <w:pStyle w:val="BodytextIndented"/>
              <w:ind w:left="-108" w:firstLine="0"/>
            </w:pPr>
            <w:r>
              <w:t>November</w:t>
            </w:r>
          </w:p>
        </w:tc>
        <w:tc>
          <w:tcPr>
            <w:tcW w:w="1061" w:type="dxa"/>
          </w:tcPr>
          <w:p w14:paraId="09BA567F" w14:textId="77777777" w:rsidR="00937875" w:rsidRPr="003B4DD5" w:rsidRDefault="00937875" w:rsidP="00950A7D">
            <w:pPr>
              <w:pStyle w:val="BodytextIndented"/>
              <w:ind w:firstLine="0"/>
              <w:jc w:val="center"/>
            </w:pPr>
            <w:r>
              <w:t>16.62</w:t>
            </w:r>
          </w:p>
        </w:tc>
        <w:tc>
          <w:tcPr>
            <w:tcW w:w="1047" w:type="dxa"/>
          </w:tcPr>
          <w:p w14:paraId="4C94F2F2" w14:textId="77777777" w:rsidR="00937875" w:rsidRPr="003B4DD5" w:rsidRDefault="00937875" w:rsidP="00950A7D">
            <w:pPr>
              <w:pStyle w:val="BodytextIndented"/>
              <w:ind w:firstLine="0"/>
              <w:jc w:val="center"/>
              <w:rPr>
                <w:lang w:val="en-GB"/>
              </w:rPr>
            </w:pPr>
            <w:r>
              <w:rPr>
                <w:lang w:val="en-GB"/>
              </w:rPr>
              <w:t>27.80</w:t>
            </w:r>
          </w:p>
        </w:tc>
        <w:tc>
          <w:tcPr>
            <w:tcW w:w="777" w:type="dxa"/>
          </w:tcPr>
          <w:p w14:paraId="0938F938" w14:textId="77777777" w:rsidR="00937875" w:rsidRPr="003B4DD5" w:rsidRDefault="00937875" w:rsidP="00950A7D">
            <w:pPr>
              <w:pStyle w:val="BodytextIndented"/>
              <w:ind w:firstLine="0"/>
              <w:jc w:val="center"/>
              <w:rPr>
                <w:lang w:val="en-GB"/>
              </w:rPr>
            </w:pPr>
            <w:r>
              <w:rPr>
                <w:lang w:val="en-GB"/>
              </w:rPr>
              <w:t>11.18</w:t>
            </w:r>
          </w:p>
        </w:tc>
        <w:tc>
          <w:tcPr>
            <w:tcW w:w="992" w:type="dxa"/>
          </w:tcPr>
          <w:p w14:paraId="69BDA1DF" w14:textId="77777777" w:rsidR="00937875" w:rsidRDefault="00937875" w:rsidP="00950A7D">
            <w:pPr>
              <w:pStyle w:val="BodytextIndented"/>
              <w:ind w:firstLine="0"/>
              <w:jc w:val="center"/>
            </w:pPr>
            <w:r>
              <w:rPr>
                <w:lang w:val="en-GB"/>
              </w:rPr>
              <w:t>19.97</w:t>
            </w:r>
          </w:p>
        </w:tc>
        <w:tc>
          <w:tcPr>
            <w:tcW w:w="1134" w:type="dxa"/>
          </w:tcPr>
          <w:p w14:paraId="2AF7E19F" w14:textId="77777777" w:rsidR="00937875" w:rsidRPr="003B4DD5" w:rsidRDefault="00937875" w:rsidP="00950A7D">
            <w:pPr>
              <w:pStyle w:val="BodytextIndented"/>
              <w:ind w:firstLine="0"/>
              <w:jc w:val="center"/>
              <w:rPr>
                <w:lang w:val="en-GB"/>
              </w:rPr>
            </w:pPr>
            <w:r>
              <w:rPr>
                <w:lang w:val="en-GB"/>
              </w:rPr>
              <w:t>18.84</w:t>
            </w:r>
          </w:p>
        </w:tc>
        <w:tc>
          <w:tcPr>
            <w:tcW w:w="993" w:type="dxa"/>
          </w:tcPr>
          <w:p w14:paraId="02976309" w14:textId="77777777" w:rsidR="00937875" w:rsidRPr="003B4DD5" w:rsidRDefault="00937875" w:rsidP="00950A7D">
            <w:pPr>
              <w:pStyle w:val="BodytextIndented"/>
              <w:ind w:firstLine="0"/>
              <w:jc w:val="center"/>
              <w:rPr>
                <w:lang w:val="en-GB"/>
              </w:rPr>
            </w:pPr>
            <w:r>
              <w:rPr>
                <w:lang w:val="en-GB"/>
              </w:rPr>
              <w:t>31</w:t>
            </w:r>
          </w:p>
        </w:tc>
        <w:tc>
          <w:tcPr>
            <w:tcW w:w="708" w:type="dxa"/>
          </w:tcPr>
          <w:p w14:paraId="04BF14AF" w14:textId="77777777" w:rsidR="00937875" w:rsidRDefault="00A5408E" w:rsidP="00950A7D">
            <w:pPr>
              <w:pStyle w:val="BodytextIndented"/>
              <w:ind w:firstLine="6"/>
              <w:jc w:val="center"/>
              <w:rPr>
                <w:lang w:val="en-GB"/>
              </w:rPr>
            </w:pPr>
            <w:r>
              <w:rPr>
                <w:lang w:val="en-GB"/>
              </w:rPr>
              <w:t>9.33</w:t>
            </w:r>
          </w:p>
        </w:tc>
        <w:tc>
          <w:tcPr>
            <w:tcW w:w="1134" w:type="dxa"/>
          </w:tcPr>
          <w:p w14:paraId="31892AD6" w14:textId="77777777" w:rsidR="00937875" w:rsidRDefault="00A5408E" w:rsidP="00950A7D">
            <w:pPr>
              <w:pStyle w:val="BodytextIndented"/>
              <w:ind w:firstLine="0"/>
              <w:jc w:val="center"/>
              <w:rPr>
                <w:lang w:val="en-GB"/>
              </w:rPr>
            </w:pPr>
            <w:r>
              <w:rPr>
                <w:lang w:val="en-GB"/>
              </w:rPr>
              <w:t>55.55</w:t>
            </w:r>
          </w:p>
        </w:tc>
      </w:tr>
      <w:tr w:rsidR="00950A7D" w14:paraId="2BFA05E6" w14:textId="77777777" w:rsidTr="00950A7D">
        <w:tc>
          <w:tcPr>
            <w:tcW w:w="1226" w:type="dxa"/>
          </w:tcPr>
          <w:p w14:paraId="2013707B" w14:textId="77777777" w:rsidR="00937875" w:rsidRDefault="00937875" w:rsidP="00950A7D">
            <w:pPr>
              <w:pStyle w:val="BodytextIndented"/>
              <w:ind w:left="-108" w:firstLine="0"/>
            </w:pPr>
            <w:r>
              <w:t>December</w:t>
            </w:r>
          </w:p>
        </w:tc>
        <w:tc>
          <w:tcPr>
            <w:tcW w:w="1061" w:type="dxa"/>
          </w:tcPr>
          <w:p w14:paraId="24CEE33F" w14:textId="77777777" w:rsidR="00937875" w:rsidRPr="00C46B37" w:rsidRDefault="00937875" w:rsidP="00950A7D">
            <w:pPr>
              <w:pStyle w:val="BodytextIndented"/>
              <w:ind w:firstLine="0"/>
              <w:jc w:val="center"/>
              <w:rPr>
                <w:lang w:val="en-GB"/>
              </w:rPr>
            </w:pPr>
            <w:r>
              <w:rPr>
                <w:lang w:val="en-GB"/>
              </w:rPr>
              <w:t>19.70</w:t>
            </w:r>
          </w:p>
        </w:tc>
        <w:tc>
          <w:tcPr>
            <w:tcW w:w="1047" w:type="dxa"/>
          </w:tcPr>
          <w:p w14:paraId="2FF0A315" w14:textId="77777777" w:rsidR="00937875" w:rsidRPr="00C46B37" w:rsidRDefault="00937875" w:rsidP="00950A7D">
            <w:pPr>
              <w:pStyle w:val="BodytextIndented"/>
              <w:ind w:firstLine="0"/>
              <w:jc w:val="center"/>
              <w:rPr>
                <w:lang w:val="en-GB"/>
              </w:rPr>
            </w:pPr>
            <w:r>
              <w:rPr>
                <w:lang w:val="en-GB"/>
              </w:rPr>
              <w:t>30.07</w:t>
            </w:r>
          </w:p>
        </w:tc>
        <w:tc>
          <w:tcPr>
            <w:tcW w:w="777" w:type="dxa"/>
          </w:tcPr>
          <w:p w14:paraId="3DAD2323" w14:textId="77777777" w:rsidR="00937875" w:rsidRDefault="00937875" w:rsidP="00950A7D">
            <w:pPr>
              <w:pStyle w:val="BodytextIndented"/>
              <w:ind w:firstLine="0"/>
              <w:jc w:val="center"/>
            </w:pPr>
            <w:r>
              <w:t>10.37</w:t>
            </w:r>
          </w:p>
        </w:tc>
        <w:tc>
          <w:tcPr>
            <w:tcW w:w="992" w:type="dxa"/>
          </w:tcPr>
          <w:p w14:paraId="3629CCA2" w14:textId="77777777" w:rsidR="00937875" w:rsidRPr="00864C53" w:rsidRDefault="00937875" w:rsidP="00950A7D">
            <w:pPr>
              <w:pStyle w:val="BodytextIndented"/>
              <w:ind w:firstLine="0"/>
              <w:jc w:val="center"/>
              <w:rPr>
                <w:lang w:val="en-GB"/>
              </w:rPr>
            </w:pPr>
            <w:r>
              <w:rPr>
                <w:lang w:val="en-GB"/>
              </w:rPr>
              <w:t>22.54</w:t>
            </w:r>
          </w:p>
        </w:tc>
        <w:tc>
          <w:tcPr>
            <w:tcW w:w="1134" w:type="dxa"/>
          </w:tcPr>
          <w:p w14:paraId="7C9C314C" w14:textId="77777777" w:rsidR="00937875" w:rsidRPr="00864C53" w:rsidRDefault="00937875" w:rsidP="00950A7D">
            <w:pPr>
              <w:pStyle w:val="BodytextIndented"/>
              <w:ind w:firstLine="0"/>
              <w:jc w:val="center"/>
              <w:rPr>
                <w:lang w:val="en-GB"/>
              </w:rPr>
            </w:pPr>
            <w:r>
              <w:rPr>
                <w:lang w:val="en-GB"/>
              </w:rPr>
              <w:t>16.62</w:t>
            </w:r>
          </w:p>
        </w:tc>
        <w:tc>
          <w:tcPr>
            <w:tcW w:w="993" w:type="dxa"/>
          </w:tcPr>
          <w:p w14:paraId="0F1C37A2" w14:textId="77777777" w:rsidR="00937875" w:rsidRPr="00864C53" w:rsidRDefault="00937875" w:rsidP="00950A7D">
            <w:pPr>
              <w:pStyle w:val="BodytextIndented"/>
              <w:ind w:firstLine="0"/>
              <w:jc w:val="center"/>
              <w:rPr>
                <w:lang w:val="en-GB"/>
              </w:rPr>
            </w:pPr>
            <w:r>
              <w:rPr>
                <w:lang w:val="en-GB"/>
              </w:rPr>
              <w:t>33</w:t>
            </w:r>
          </w:p>
        </w:tc>
        <w:tc>
          <w:tcPr>
            <w:tcW w:w="708" w:type="dxa"/>
          </w:tcPr>
          <w:p w14:paraId="488F019E" w14:textId="77777777" w:rsidR="00937875" w:rsidRDefault="00A5408E" w:rsidP="00950A7D">
            <w:pPr>
              <w:pStyle w:val="BodytextIndented"/>
              <w:ind w:firstLine="6"/>
              <w:jc w:val="center"/>
              <w:rPr>
                <w:lang w:val="en-GB"/>
              </w:rPr>
            </w:pPr>
            <w:r>
              <w:rPr>
                <w:lang w:val="en-GB"/>
              </w:rPr>
              <w:t>8.23</w:t>
            </w:r>
          </w:p>
        </w:tc>
        <w:tc>
          <w:tcPr>
            <w:tcW w:w="1134" w:type="dxa"/>
          </w:tcPr>
          <w:p w14:paraId="313DD3FB" w14:textId="77777777" w:rsidR="00937875" w:rsidRDefault="006809B6" w:rsidP="00950A7D">
            <w:pPr>
              <w:pStyle w:val="BodytextIndented"/>
              <w:ind w:firstLine="0"/>
              <w:jc w:val="center"/>
              <w:rPr>
                <w:lang w:val="en-GB"/>
              </w:rPr>
            </w:pPr>
            <w:r>
              <w:rPr>
                <w:lang w:val="en-GB"/>
              </w:rPr>
              <w:t>54.66</w:t>
            </w:r>
          </w:p>
        </w:tc>
      </w:tr>
      <w:tr w:rsidR="00950A7D" w14:paraId="68199C39" w14:textId="77777777" w:rsidTr="00950A7D">
        <w:tc>
          <w:tcPr>
            <w:tcW w:w="1226" w:type="dxa"/>
            <w:tcBorders>
              <w:bottom w:val="single" w:sz="4" w:space="0" w:color="auto"/>
            </w:tcBorders>
          </w:tcPr>
          <w:p w14:paraId="31C1077F" w14:textId="77777777" w:rsidR="00937875" w:rsidRDefault="00937875" w:rsidP="00950A7D">
            <w:pPr>
              <w:pStyle w:val="BodytextIndented"/>
              <w:ind w:left="-108" w:firstLine="0"/>
            </w:pPr>
            <w:r>
              <w:t>January</w:t>
            </w:r>
          </w:p>
        </w:tc>
        <w:tc>
          <w:tcPr>
            <w:tcW w:w="1061" w:type="dxa"/>
            <w:tcBorders>
              <w:bottom w:val="single" w:sz="4" w:space="0" w:color="auto"/>
            </w:tcBorders>
          </w:tcPr>
          <w:p w14:paraId="55495CCA" w14:textId="77777777" w:rsidR="00937875" w:rsidRPr="002103EC" w:rsidRDefault="00937875" w:rsidP="00950A7D">
            <w:pPr>
              <w:pStyle w:val="BodytextIndented"/>
              <w:ind w:firstLine="0"/>
              <w:jc w:val="center"/>
              <w:rPr>
                <w:lang w:val="en-GB"/>
              </w:rPr>
            </w:pPr>
            <w:r>
              <w:rPr>
                <w:lang w:val="en-GB"/>
              </w:rPr>
              <w:t>26.92</w:t>
            </w:r>
          </w:p>
        </w:tc>
        <w:tc>
          <w:tcPr>
            <w:tcW w:w="1047" w:type="dxa"/>
            <w:tcBorders>
              <w:bottom w:val="single" w:sz="4" w:space="0" w:color="auto"/>
            </w:tcBorders>
          </w:tcPr>
          <w:p w14:paraId="7A79A06C" w14:textId="77777777" w:rsidR="00937875" w:rsidRPr="002103EC" w:rsidRDefault="00937875" w:rsidP="00950A7D">
            <w:pPr>
              <w:pStyle w:val="BodytextIndented"/>
              <w:ind w:firstLine="0"/>
              <w:jc w:val="center"/>
              <w:rPr>
                <w:lang w:val="en-GB"/>
              </w:rPr>
            </w:pPr>
            <w:r>
              <w:rPr>
                <w:lang w:val="en-GB"/>
              </w:rPr>
              <w:t>39.08</w:t>
            </w:r>
          </w:p>
        </w:tc>
        <w:tc>
          <w:tcPr>
            <w:tcW w:w="777" w:type="dxa"/>
            <w:tcBorders>
              <w:bottom w:val="single" w:sz="4" w:space="0" w:color="auto"/>
            </w:tcBorders>
          </w:tcPr>
          <w:p w14:paraId="270C56C8" w14:textId="77777777" w:rsidR="00937875" w:rsidRDefault="00937875" w:rsidP="00950A7D">
            <w:pPr>
              <w:pStyle w:val="BodytextIndented"/>
              <w:ind w:firstLine="0"/>
              <w:jc w:val="center"/>
            </w:pPr>
            <w:r>
              <w:t>12.16</w:t>
            </w:r>
          </w:p>
        </w:tc>
        <w:tc>
          <w:tcPr>
            <w:tcW w:w="992" w:type="dxa"/>
            <w:tcBorders>
              <w:bottom w:val="single" w:sz="4" w:space="0" w:color="auto"/>
            </w:tcBorders>
          </w:tcPr>
          <w:p w14:paraId="1F6A00C3" w14:textId="77777777" w:rsidR="00937875" w:rsidRPr="002103EC" w:rsidRDefault="00937875" w:rsidP="00950A7D">
            <w:pPr>
              <w:pStyle w:val="BodytextIndented"/>
              <w:ind w:firstLine="0"/>
              <w:jc w:val="center"/>
              <w:rPr>
                <w:lang w:val="en-GB"/>
              </w:rPr>
            </w:pPr>
            <w:r>
              <w:rPr>
                <w:lang w:val="en-GB"/>
              </w:rPr>
              <w:t>26.48</w:t>
            </w:r>
          </w:p>
        </w:tc>
        <w:tc>
          <w:tcPr>
            <w:tcW w:w="1134" w:type="dxa"/>
            <w:tcBorders>
              <w:bottom w:val="single" w:sz="4" w:space="0" w:color="auto"/>
            </w:tcBorders>
          </w:tcPr>
          <w:p w14:paraId="40AC04F8" w14:textId="77777777" w:rsidR="00937875" w:rsidRPr="002103EC" w:rsidRDefault="00937875" w:rsidP="00950A7D">
            <w:pPr>
              <w:pStyle w:val="BodytextIndented"/>
              <w:ind w:firstLine="0"/>
              <w:jc w:val="center"/>
              <w:rPr>
                <w:lang w:val="en-GB"/>
              </w:rPr>
            </w:pPr>
            <w:r>
              <w:rPr>
                <w:lang w:val="en-GB"/>
              </w:rPr>
              <w:t>18.89</w:t>
            </w:r>
          </w:p>
        </w:tc>
        <w:tc>
          <w:tcPr>
            <w:tcW w:w="993" w:type="dxa"/>
            <w:tcBorders>
              <w:bottom w:val="single" w:sz="4" w:space="0" w:color="auto"/>
            </w:tcBorders>
          </w:tcPr>
          <w:p w14:paraId="2247668D" w14:textId="77777777" w:rsidR="00937875" w:rsidRPr="002103EC" w:rsidRDefault="00937875" w:rsidP="00950A7D">
            <w:pPr>
              <w:pStyle w:val="BodytextIndented"/>
              <w:ind w:firstLine="0"/>
              <w:jc w:val="center"/>
              <w:rPr>
                <w:lang w:val="en-GB"/>
              </w:rPr>
            </w:pPr>
            <w:r>
              <w:rPr>
                <w:lang w:val="en-GB"/>
              </w:rPr>
              <w:t>35</w:t>
            </w:r>
          </w:p>
        </w:tc>
        <w:tc>
          <w:tcPr>
            <w:tcW w:w="708" w:type="dxa"/>
            <w:tcBorders>
              <w:bottom w:val="single" w:sz="4" w:space="0" w:color="auto"/>
            </w:tcBorders>
          </w:tcPr>
          <w:p w14:paraId="2835FB80" w14:textId="77777777" w:rsidR="00937875" w:rsidRDefault="00A5408E" w:rsidP="00950A7D">
            <w:pPr>
              <w:pStyle w:val="BodytextIndented"/>
              <w:ind w:firstLine="6"/>
              <w:jc w:val="center"/>
              <w:rPr>
                <w:lang w:val="en-GB"/>
              </w:rPr>
            </w:pPr>
            <w:r>
              <w:rPr>
                <w:lang w:val="en-GB"/>
              </w:rPr>
              <w:t>8.00</w:t>
            </w:r>
          </w:p>
        </w:tc>
        <w:tc>
          <w:tcPr>
            <w:tcW w:w="1134" w:type="dxa"/>
            <w:tcBorders>
              <w:bottom w:val="single" w:sz="4" w:space="0" w:color="auto"/>
            </w:tcBorders>
          </w:tcPr>
          <w:p w14:paraId="39FE33E5" w14:textId="77777777" w:rsidR="00937875" w:rsidRDefault="006809B6" w:rsidP="00950A7D">
            <w:pPr>
              <w:pStyle w:val="BodytextIndented"/>
              <w:ind w:firstLine="0"/>
              <w:jc w:val="center"/>
              <w:rPr>
                <w:lang w:val="en-GB"/>
              </w:rPr>
            </w:pPr>
            <w:r>
              <w:rPr>
                <w:lang w:val="en-GB"/>
              </w:rPr>
              <w:t>56.05</w:t>
            </w:r>
          </w:p>
        </w:tc>
      </w:tr>
      <w:tr w:rsidR="006809B6" w:rsidRPr="00950A7D" w14:paraId="701B0ED9" w14:textId="77777777" w:rsidTr="00950A7D">
        <w:tc>
          <w:tcPr>
            <w:tcW w:w="1226" w:type="dxa"/>
            <w:tcBorders>
              <w:top w:val="single" w:sz="4" w:space="0" w:color="auto"/>
              <w:bottom w:val="single" w:sz="4" w:space="0" w:color="auto"/>
            </w:tcBorders>
          </w:tcPr>
          <w:p w14:paraId="398B3436" w14:textId="77777777" w:rsidR="006809B6" w:rsidRPr="00950A7D" w:rsidRDefault="006809B6" w:rsidP="00950A7D">
            <w:pPr>
              <w:pStyle w:val="BodytextIndented"/>
              <w:ind w:left="-108" w:firstLine="0"/>
              <w:rPr>
                <w:b/>
              </w:rPr>
            </w:pPr>
            <w:r w:rsidRPr="00950A7D">
              <w:rPr>
                <w:b/>
              </w:rPr>
              <w:t>Average</w:t>
            </w:r>
          </w:p>
        </w:tc>
        <w:tc>
          <w:tcPr>
            <w:tcW w:w="6712" w:type="dxa"/>
            <w:gridSpan w:val="7"/>
            <w:tcBorders>
              <w:top w:val="single" w:sz="4" w:space="0" w:color="auto"/>
              <w:bottom w:val="single" w:sz="4" w:space="0" w:color="auto"/>
            </w:tcBorders>
          </w:tcPr>
          <w:p w14:paraId="2C5EDEF9" w14:textId="77777777" w:rsidR="006809B6" w:rsidRPr="00950A7D" w:rsidRDefault="006809B6" w:rsidP="00BE3C7A">
            <w:pPr>
              <w:pStyle w:val="BodytextIndented"/>
              <w:ind w:firstLine="0"/>
              <w:rPr>
                <w:b/>
                <w:lang w:val="en-GB"/>
              </w:rPr>
            </w:pPr>
          </w:p>
        </w:tc>
        <w:tc>
          <w:tcPr>
            <w:tcW w:w="1134" w:type="dxa"/>
            <w:tcBorders>
              <w:top w:val="single" w:sz="4" w:space="0" w:color="auto"/>
              <w:bottom w:val="single" w:sz="4" w:space="0" w:color="auto"/>
            </w:tcBorders>
          </w:tcPr>
          <w:p w14:paraId="4E9CCAC0" w14:textId="77777777" w:rsidR="006809B6" w:rsidRPr="00950A7D" w:rsidRDefault="006809B6" w:rsidP="00950A7D">
            <w:pPr>
              <w:pStyle w:val="BodytextIndented"/>
              <w:ind w:firstLine="0"/>
              <w:jc w:val="center"/>
              <w:rPr>
                <w:b/>
                <w:lang w:val="en-GB"/>
              </w:rPr>
            </w:pPr>
            <w:r w:rsidRPr="00950A7D">
              <w:rPr>
                <w:b/>
                <w:lang w:val="en-GB"/>
              </w:rPr>
              <w:t>60.99</w:t>
            </w:r>
          </w:p>
        </w:tc>
      </w:tr>
    </w:tbl>
    <w:p w14:paraId="591598A3" w14:textId="77777777" w:rsidR="00192F42" w:rsidRDefault="00192F42" w:rsidP="00BE3C7A">
      <w:pPr>
        <w:pStyle w:val="BodytextIndented"/>
        <w:ind w:firstLine="0"/>
      </w:pPr>
    </w:p>
    <w:p w14:paraId="2C8D7E28" w14:textId="77777777" w:rsidR="00957DE4" w:rsidRPr="00A5408E" w:rsidRDefault="00EA1F2A" w:rsidP="00BE3C7A">
      <w:pPr>
        <w:pStyle w:val="BodytextIndented"/>
        <w:ind w:firstLine="0"/>
        <w:rPr>
          <w:lang w:val="en-GB"/>
        </w:rPr>
      </w:pPr>
      <w:r>
        <w:t>From tab</w:t>
      </w:r>
      <w:r w:rsidR="00826482">
        <w:t>le 3</w:t>
      </w:r>
      <w:r w:rsidR="00B516CF">
        <w:t xml:space="preserve"> it can be noted that the P</w:t>
      </w:r>
      <w:r>
        <w:t>TS had a high</w:t>
      </w:r>
      <w:r w:rsidR="00303E3D">
        <w:t xml:space="preserve">er thermal efficiency in </w:t>
      </w:r>
      <w:r w:rsidR="000A3C99">
        <w:t>September and October as compared to oth</w:t>
      </w:r>
      <w:r w:rsidR="00B516CF">
        <w:t xml:space="preserve">er </w:t>
      </w:r>
      <w:r w:rsidR="000A3C99">
        <w:t xml:space="preserve">remaining </w:t>
      </w:r>
      <w:r w:rsidR="00B516CF">
        <w:t xml:space="preserve">months. The likely reason </w:t>
      </w:r>
      <w:r w:rsidR="000A3C99">
        <w:t>for this was</w:t>
      </w:r>
      <w:r w:rsidR="00B516CF">
        <w:t xml:space="preserve"> that in </w:t>
      </w:r>
      <w:r w:rsidR="000A3C99">
        <w:t xml:space="preserve">the months of September and October </w:t>
      </w:r>
      <w:r w:rsidR="00B516CF">
        <w:t>it wa</w:t>
      </w:r>
      <w:r>
        <w:t xml:space="preserve">s cooler as compared to </w:t>
      </w:r>
      <w:r w:rsidR="000A3C99">
        <w:t xml:space="preserve">other </w:t>
      </w:r>
      <w:r>
        <w:t>months</w:t>
      </w:r>
      <w:r w:rsidR="001A114D">
        <w:t>.</w:t>
      </w:r>
      <w:r w:rsidR="000A3C99">
        <w:t xml:space="preserve"> </w:t>
      </w:r>
      <w:r w:rsidR="00A5408E" w:rsidRPr="00A5408E">
        <w:rPr>
          <w:lang w:val="en-GB"/>
        </w:rPr>
        <w:t xml:space="preserve">The monthly energy saving efficiency of such </w:t>
      </w:r>
      <w:r w:rsidR="00A5408E">
        <w:rPr>
          <w:lang w:val="en-GB"/>
        </w:rPr>
        <w:t xml:space="preserve">a system was found to be </w:t>
      </w:r>
      <w:r w:rsidR="001A114D">
        <w:rPr>
          <w:lang w:val="en-GB"/>
        </w:rPr>
        <w:t>approximately 61</w:t>
      </w:r>
      <w:r w:rsidR="00A5408E">
        <w:rPr>
          <w:lang w:val="en-GB"/>
        </w:rPr>
        <w:t>%.</w:t>
      </w:r>
    </w:p>
    <w:p w14:paraId="4B2D8F4F" w14:textId="77777777" w:rsidR="00B161A6" w:rsidRDefault="00B161A6" w:rsidP="00BE3C7A">
      <w:pPr>
        <w:pStyle w:val="BodytextIndented"/>
        <w:ind w:firstLine="0"/>
        <w:rPr>
          <w:lang w:val="en-GB"/>
        </w:rPr>
      </w:pPr>
    </w:p>
    <w:p w14:paraId="2DDFAE2E" w14:textId="77777777" w:rsidR="00AE7995" w:rsidRPr="00B007E8" w:rsidRDefault="00AE7995" w:rsidP="00AE7995">
      <w:pPr>
        <w:pStyle w:val="BodytextIndented"/>
        <w:ind w:left="567" w:hanging="567"/>
        <w:rPr>
          <w:b/>
        </w:rPr>
      </w:pPr>
      <w:r>
        <w:rPr>
          <w:b/>
        </w:rPr>
        <w:t>4</w:t>
      </w:r>
      <w:r>
        <w:rPr>
          <w:b/>
        </w:rPr>
        <w:tab/>
      </w:r>
      <w:r>
        <w:rPr>
          <w:b/>
        </w:rPr>
        <w:t>Conclusions</w:t>
      </w:r>
    </w:p>
    <w:p w14:paraId="7929E470" w14:textId="77777777" w:rsidR="00AE7995" w:rsidRDefault="00AE7995" w:rsidP="00BE3C7A">
      <w:pPr>
        <w:pStyle w:val="BodytextIndented"/>
        <w:ind w:firstLine="0"/>
        <w:rPr>
          <w:lang w:val="en-GB"/>
        </w:rPr>
      </w:pPr>
    </w:p>
    <w:p w14:paraId="572D92B3" w14:textId="77777777" w:rsidR="0044085F" w:rsidRDefault="001A3E47" w:rsidP="00BE3C7A">
      <w:pPr>
        <w:pStyle w:val="BodytextIndented"/>
        <w:ind w:firstLine="0"/>
        <w:rPr>
          <w:lang w:val="en-GB"/>
        </w:rPr>
      </w:pPr>
      <w:r>
        <w:rPr>
          <w:lang w:val="en-GB"/>
        </w:rPr>
        <w:t xml:space="preserve">Higher electrical and thermal efficiency </w:t>
      </w:r>
      <w:r w:rsidR="00992E9C">
        <w:rPr>
          <w:lang w:val="en-GB"/>
        </w:rPr>
        <w:t>values were obtained from the P</w:t>
      </w:r>
      <w:r w:rsidR="000A3C99">
        <w:rPr>
          <w:lang w:val="en-GB"/>
        </w:rPr>
        <w:t>TS in the months of September and October</w:t>
      </w:r>
      <w:r w:rsidR="00396364">
        <w:rPr>
          <w:lang w:val="en-GB"/>
        </w:rPr>
        <w:t xml:space="preserve"> as compared to</w:t>
      </w:r>
      <w:r w:rsidR="000A3C99">
        <w:rPr>
          <w:lang w:val="en-GB"/>
        </w:rPr>
        <w:t xml:space="preserve"> remaining months under consideration</w:t>
      </w:r>
      <w:r w:rsidR="00992E9C">
        <w:rPr>
          <w:lang w:val="en-GB"/>
        </w:rPr>
        <w:t>. The PTS</w:t>
      </w:r>
      <w:r w:rsidR="00AE7995">
        <w:rPr>
          <w:lang w:val="en-GB"/>
        </w:rPr>
        <w:t xml:space="preserve"> (M</w:t>
      </w:r>
      <w:r w:rsidR="00AE7995" w:rsidRPr="00AE7995">
        <w:rPr>
          <w:vertAlign w:val="subscript"/>
          <w:lang w:val="en-GB"/>
        </w:rPr>
        <w:t>2</w:t>
      </w:r>
      <w:r w:rsidR="00AE7995">
        <w:rPr>
          <w:lang w:val="en-GB"/>
        </w:rPr>
        <w:t>)</w:t>
      </w:r>
      <w:r w:rsidR="00992E9C">
        <w:rPr>
          <w:lang w:val="en-GB"/>
        </w:rPr>
        <w:t xml:space="preserve"> also </w:t>
      </w:r>
      <w:r w:rsidR="00396364">
        <w:rPr>
          <w:lang w:val="en-GB"/>
        </w:rPr>
        <w:t xml:space="preserve">displayed </w:t>
      </w:r>
      <w:r w:rsidR="00992E9C">
        <w:rPr>
          <w:lang w:val="en-GB"/>
        </w:rPr>
        <w:t xml:space="preserve">higher </w:t>
      </w:r>
      <w:r w:rsidR="00AE7995" w:rsidRPr="00AE7995">
        <w:rPr>
          <w:i/>
          <w:lang w:val="en-GB"/>
        </w:rPr>
        <w:t>P</w:t>
      </w:r>
      <w:r w:rsidR="00AE7995" w:rsidRPr="00AE7995">
        <w:rPr>
          <w:i/>
          <w:vertAlign w:val="subscript"/>
          <w:lang w:val="en-GB"/>
        </w:rPr>
        <w:t>R</w:t>
      </w:r>
      <w:r w:rsidR="00992E9C">
        <w:rPr>
          <w:lang w:val="en-GB"/>
        </w:rPr>
        <w:t xml:space="preserve"> ranging </w:t>
      </w:r>
      <w:r w:rsidR="00396364">
        <w:rPr>
          <w:lang w:val="en-GB"/>
        </w:rPr>
        <w:t>from 1.00 to 1.23</w:t>
      </w:r>
      <w:r w:rsidR="00AE7995">
        <w:rPr>
          <w:lang w:val="en-GB"/>
        </w:rPr>
        <w:t xml:space="preserve">, </w:t>
      </w:r>
      <w:r w:rsidR="000A3C99">
        <w:rPr>
          <w:lang w:val="en-GB"/>
        </w:rPr>
        <w:t>while</w:t>
      </w:r>
      <w:r w:rsidR="00396364">
        <w:rPr>
          <w:lang w:val="en-GB"/>
        </w:rPr>
        <w:t xml:space="preserve"> </w:t>
      </w:r>
      <w:r w:rsidR="00AE7995" w:rsidRPr="00AE7995">
        <w:rPr>
          <w:i/>
          <w:lang w:val="en-GB"/>
        </w:rPr>
        <w:t>P</w:t>
      </w:r>
      <w:r w:rsidR="00AE7995" w:rsidRPr="00AE7995">
        <w:rPr>
          <w:i/>
          <w:vertAlign w:val="subscript"/>
          <w:lang w:val="en-GB"/>
        </w:rPr>
        <w:t>R</w:t>
      </w:r>
      <w:r w:rsidR="00AE7995">
        <w:rPr>
          <w:lang w:val="en-GB"/>
        </w:rPr>
        <w:t xml:space="preserve"> for M</w:t>
      </w:r>
      <w:r w:rsidR="00AE7995" w:rsidRPr="00AE7995">
        <w:rPr>
          <w:vertAlign w:val="subscript"/>
          <w:lang w:val="en-GB"/>
        </w:rPr>
        <w:t>1</w:t>
      </w:r>
      <w:r w:rsidR="00396364">
        <w:rPr>
          <w:lang w:val="en-GB"/>
        </w:rPr>
        <w:t xml:space="preserve"> varied from 0.92 to 1.18. </w:t>
      </w:r>
      <w:bookmarkStart w:id="1" w:name="OLE_LINK1"/>
      <w:bookmarkStart w:id="2" w:name="OLE_LINK2"/>
      <w:r w:rsidR="00396364">
        <w:rPr>
          <w:lang w:val="en-GB"/>
        </w:rPr>
        <w:t xml:space="preserve">The </w:t>
      </w:r>
      <w:r w:rsidR="00AE7995">
        <w:rPr>
          <w:lang w:val="en-GB"/>
        </w:rPr>
        <w:t xml:space="preserve">average </w:t>
      </w:r>
      <w:r w:rsidR="00396364">
        <w:rPr>
          <w:lang w:val="en-GB"/>
        </w:rPr>
        <w:t>monthly energy saving efficiency of the PTS was found to be approximately 61%.</w:t>
      </w:r>
      <w:bookmarkEnd w:id="1"/>
      <w:bookmarkEnd w:id="2"/>
    </w:p>
    <w:p w14:paraId="0A61BA2B" w14:textId="77777777" w:rsidR="00AE7995" w:rsidRDefault="00AE7995" w:rsidP="00BE3C7A">
      <w:pPr>
        <w:pStyle w:val="BodytextIndented"/>
        <w:ind w:firstLine="0"/>
        <w:rPr>
          <w:lang w:val="en-GB"/>
        </w:rPr>
      </w:pPr>
    </w:p>
    <w:p w14:paraId="622FAEA1" w14:textId="77777777" w:rsidR="000F0071" w:rsidRDefault="00AE7995" w:rsidP="00AE7995">
      <w:pPr>
        <w:pStyle w:val="Sectionnonumber"/>
        <w:spacing w:before="0"/>
        <w:ind w:left="567" w:hanging="567"/>
      </w:pPr>
      <w:r>
        <w:t>5</w:t>
      </w:r>
      <w:r>
        <w:tab/>
      </w:r>
      <w:r w:rsidR="000F0071">
        <w:t>References</w:t>
      </w:r>
    </w:p>
    <w:p w14:paraId="52D05EBA" w14:textId="77777777" w:rsidR="00DF06C7" w:rsidRPr="00DF06C7" w:rsidRDefault="00DF06C7" w:rsidP="00DF06C7">
      <w:pPr>
        <w:pStyle w:val="Bodytext"/>
      </w:pPr>
    </w:p>
    <w:p w14:paraId="5A4B3A5E" w14:textId="77777777" w:rsidR="006D63AE" w:rsidRPr="00DF06C7" w:rsidRDefault="006D63AE" w:rsidP="00BE3C7A">
      <w:pPr>
        <w:pStyle w:val="Reference"/>
        <w:rPr>
          <w:bCs/>
          <w:i/>
          <w:lang w:val="en-ZA"/>
        </w:rPr>
      </w:pPr>
      <w:r w:rsidRPr="00DF06C7">
        <w:rPr>
          <w:bCs/>
          <w:lang w:val="en-ZA"/>
        </w:rPr>
        <w:t>Moodley S,</w:t>
      </w:r>
      <w:r w:rsidRPr="00DF06C7">
        <w:rPr>
          <w:lang w:val="en-ZA"/>
        </w:rPr>
        <w:t xml:space="preserve"> </w:t>
      </w:r>
      <w:r w:rsidRPr="00DF06C7">
        <w:rPr>
          <w:bCs/>
          <w:lang w:val="en-ZA"/>
        </w:rPr>
        <w:t>RM Mabugu,</w:t>
      </w:r>
      <w:r w:rsidRPr="00DF06C7">
        <w:rPr>
          <w:lang w:val="en-ZA"/>
        </w:rPr>
        <w:t xml:space="preserve"> </w:t>
      </w:r>
      <w:r w:rsidR="00F156DF" w:rsidRPr="00DF06C7">
        <w:rPr>
          <w:bCs/>
          <w:lang w:val="en-ZA"/>
        </w:rPr>
        <w:t xml:space="preserve">R Hassan, </w:t>
      </w:r>
      <w:r w:rsidRPr="00DF06C7">
        <w:rPr>
          <w:bCs/>
          <w:lang w:val="en-ZA"/>
        </w:rPr>
        <w:t>2005.</w:t>
      </w:r>
      <w:r w:rsidRPr="00DF06C7">
        <w:rPr>
          <w:lang w:val="en-ZA"/>
        </w:rPr>
        <w:t xml:space="preserve"> </w:t>
      </w:r>
      <w:r w:rsidRPr="00DF06C7">
        <w:rPr>
          <w:bCs/>
          <w:lang w:val="en-ZA"/>
        </w:rPr>
        <w:t>Analysing scenarios for energy emissions</w:t>
      </w:r>
    </w:p>
    <w:p w14:paraId="130B06DC" w14:textId="77777777" w:rsidR="00DF0FBD" w:rsidRPr="00DF06C7" w:rsidRDefault="006D63AE" w:rsidP="00BE3C7A">
      <w:pPr>
        <w:pStyle w:val="Reference"/>
        <w:numPr>
          <w:ilvl w:val="0"/>
          <w:numId w:val="0"/>
        </w:numPr>
        <w:ind w:left="567"/>
        <w:rPr>
          <w:bCs/>
          <w:i/>
          <w:lang w:val="en-ZA"/>
        </w:rPr>
      </w:pPr>
      <w:r w:rsidRPr="00DF06C7">
        <w:rPr>
          <w:bCs/>
          <w:lang w:val="en-ZA"/>
        </w:rPr>
        <w:t xml:space="preserve">reduction in South Africa. </w:t>
      </w:r>
      <w:r w:rsidRPr="00DF06C7">
        <w:rPr>
          <w:bCs/>
          <w:i/>
          <w:lang w:val="en-ZA"/>
        </w:rPr>
        <w:t>Journal of Energy in Southern Africa • Vol 16 No 4 • November 2005.</w:t>
      </w:r>
    </w:p>
    <w:p w14:paraId="2912F02D" w14:textId="77777777" w:rsidR="00DF0FBD" w:rsidRPr="00DF06C7" w:rsidRDefault="00DF0FBD" w:rsidP="00BE3C7A">
      <w:pPr>
        <w:pStyle w:val="Reference"/>
        <w:rPr>
          <w:bCs/>
        </w:rPr>
      </w:pPr>
      <w:r w:rsidRPr="00DF06C7">
        <w:rPr>
          <w:bCs/>
          <w:lang w:val="en-ZA"/>
        </w:rPr>
        <w:t>Hannβ Carl von Carlowitz</w:t>
      </w:r>
      <w:r w:rsidR="00F156DF" w:rsidRPr="00DF06C7">
        <w:rPr>
          <w:bCs/>
          <w:lang w:val="en-ZA"/>
        </w:rPr>
        <w:t>.</w:t>
      </w:r>
      <w:r w:rsidRPr="00DF06C7">
        <w:rPr>
          <w:bCs/>
          <w:lang w:val="en-ZA"/>
        </w:rPr>
        <w:t xml:space="preserve"> Sustainability and Energy. V</w:t>
      </w:r>
      <w:r w:rsidRPr="00DF06C7">
        <w:rPr>
          <w:bCs/>
        </w:rPr>
        <w:t>iewed on 28</w:t>
      </w:r>
      <w:r w:rsidRPr="00DF06C7">
        <w:rPr>
          <w:bCs/>
          <w:vertAlign w:val="superscript"/>
        </w:rPr>
        <w:t>th</w:t>
      </w:r>
      <w:r w:rsidRPr="00DF06C7">
        <w:rPr>
          <w:bCs/>
        </w:rPr>
        <w:t xml:space="preserve"> March 2012 from</w:t>
      </w:r>
    </w:p>
    <w:p w14:paraId="5694C869" w14:textId="77777777" w:rsidR="00DF0FBD" w:rsidRPr="00DF06C7" w:rsidRDefault="00DF0FBD" w:rsidP="00BE3C7A">
      <w:pPr>
        <w:pStyle w:val="Reference"/>
        <w:numPr>
          <w:ilvl w:val="0"/>
          <w:numId w:val="0"/>
        </w:numPr>
      </w:pPr>
      <w:r w:rsidRPr="00DF06C7">
        <w:rPr>
          <w:lang w:val="en-ZA"/>
        </w:rPr>
        <w:tab/>
      </w:r>
      <w:hyperlink r:id="rId16" w:history="1">
        <w:r w:rsidRPr="00DF06C7">
          <w:rPr>
            <w:rStyle w:val="Hyperlink"/>
            <w:bCs/>
          </w:rPr>
          <w:t>http://www.efcf.com/reports/E23.pdf</w:t>
        </w:r>
      </w:hyperlink>
      <w:r w:rsidRPr="00DF06C7">
        <w:rPr>
          <w:bCs/>
          <w:lang w:val="en-ZA"/>
        </w:rPr>
        <w:t>.</w:t>
      </w:r>
    </w:p>
    <w:p w14:paraId="24D94AB9" w14:textId="77777777" w:rsidR="00632B3A" w:rsidRPr="00DF06C7" w:rsidRDefault="000114BF" w:rsidP="00BE3C7A">
      <w:pPr>
        <w:pStyle w:val="Reference"/>
      </w:pPr>
      <w:r w:rsidRPr="00DF06C7">
        <w:t>J.</w:t>
      </w:r>
      <w:r w:rsidR="000F0071" w:rsidRPr="00DF06C7">
        <w:t xml:space="preserve">A </w:t>
      </w:r>
      <w:r w:rsidRPr="00DF06C7">
        <w:t xml:space="preserve">Duffie and W. A Beckman ,2006. </w:t>
      </w:r>
      <w:r w:rsidRPr="00DF06C7">
        <w:rPr>
          <w:i/>
        </w:rPr>
        <w:t>Solar Engineering of Thermal Processes.</w:t>
      </w:r>
      <w:r w:rsidR="000F0071" w:rsidRPr="00DF06C7">
        <w:rPr>
          <w:i/>
        </w:rPr>
        <w:t>reference</w:t>
      </w:r>
      <w:r w:rsidR="00632B3A" w:rsidRPr="00DF06C7">
        <w:rPr>
          <w:i/>
        </w:rPr>
        <w:t xml:space="preserve"> (New</w:t>
      </w:r>
    </w:p>
    <w:p w14:paraId="3F14683C" w14:textId="77777777" w:rsidR="000F0071" w:rsidRPr="00DF06C7" w:rsidRDefault="00632B3A" w:rsidP="00BE3C7A">
      <w:pPr>
        <w:pStyle w:val="Reference"/>
        <w:numPr>
          <w:ilvl w:val="0"/>
          <w:numId w:val="0"/>
        </w:numPr>
      </w:pPr>
      <w:r w:rsidRPr="00DF06C7">
        <w:tab/>
      </w:r>
      <w:r w:rsidR="000114BF" w:rsidRPr="00DF06C7">
        <w:rPr>
          <w:i/>
        </w:rPr>
        <w:t>Jersey :John Wiley and Sons,Inc)</w:t>
      </w:r>
    </w:p>
    <w:p w14:paraId="61EF5229" w14:textId="7FA73BCA" w:rsidR="00F156DF" w:rsidRPr="00DF06C7" w:rsidRDefault="009D3AE4" w:rsidP="00BE3C7A">
      <w:pPr>
        <w:pStyle w:val="Reference"/>
        <w:numPr>
          <w:ilvl w:val="0"/>
          <w:numId w:val="0"/>
        </w:numPr>
        <w:ind w:left="851" w:hanging="851"/>
        <w:rPr>
          <w:bCs/>
          <w:lang w:val="en-ZA"/>
        </w:rPr>
      </w:pPr>
      <w:r w:rsidRPr="00DF06C7">
        <w:rPr>
          <w:bCs/>
          <w:lang w:val="en-ZA"/>
        </w:rPr>
        <w:t>[</w:t>
      </w:r>
      <w:r w:rsidR="00DF06C7" w:rsidRPr="00DF06C7">
        <w:rPr>
          <w:bCs/>
          <w:lang w:val="en-ZA"/>
        </w:rPr>
        <w:t>4</w:t>
      </w:r>
      <w:r w:rsidRPr="00DF06C7">
        <w:rPr>
          <w:bCs/>
          <w:lang w:val="en-ZA"/>
        </w:rPr>
        <w:t>]</w:t>
      </w:r>
      <w:r w:rsidRPr="00DF06C7">
        <w:rPr>
          <w:bCs/>
          <w:lang w:val="en-ZA"/>
        </w:rPr>
        <w:tab/>
        <w:t>A.Colli, W.Sparber, M. Armani, B. Kofler, L.Maturi1</w:t>
      </w:r>
      <w:r w:rsidR="00F156DF" w:rsidRPr="00DF06C7">
        <w:rPr>
          <w:bCs/>
          <w:lang w:val="en-ZA"/>
        </w:rPr>
        <w:t>, 2010. Performance mornitoring of</w:t>
      </w:r>
    </w:p>
    <w:p w14:paraId="352FD566" w14:textId="77777777" w:rsidR="009D3AE4" w:rsidRPr="00DF06C7" w:rsidRDefault="00F156DF" w:rsidP="00BE3C7A">
      <w:pPr>
        <w:pStyle w:val="Reference"/>
        <w:numPr>
          <w:ilvl w:val="0"/>
          <w:numId w:val="0"/>
        </w:numPr>
        <w:ind w:left="851" w:hanging="851"/>
        <w:rPr>
          <w:bCs/>
          <w:lang w:val="en-ZA"/>
        </w:rPr>
      </w:pPr>
      <w:r w:rsidRPr="00DF06C7">
        <w:rPr>
          <w:bCs/>
          <w:lang w:val="en-ZA"/>
        </w:rPr>
        <w:tab/>
      </w:r>
      <w:r w:rsidR="009D3AE4" w:rsidRPr="00DF06C7">
        <w:rPr>
          <w:bCs/>
          <w:lang w:val="en-ZA"/>
        </w:rPr>
        <w:t>different</w:t>
      </w:r>
      <w:r w:rsidRPr="00DF06C7">
        <w:rPr>
          <w:bCs/>
          <w:lang w:val="en-ZA"/>
        </w:rPr>
        <w:t xml:space="preserve"> PV </w:t>
      </w:r>
      <w:r w:rsidR="009D3AE4" w:rsidRPr="00DF06C7">
        <w:rPr>
          <w:bCs/>
          <w:lang w:val="en-ZA"/>
        </w:rPr>
        <w:t xml:space="preserve">technologies at a PV field in northern Italy, </w:t>
      </w:r>
      <w:r w:rsidR="009D3AE4" w:rsidRPr="00DF06C7">
        <w:rPr>
          <w:bCs/>
          <w:i/>
          <w:lang w:val="en-ZA"/>
        </w:rPr>
        <w:t>25</w:t>
      </w:r>
      <w:r w:rsidR="009D3AE4" w:rsidRPr="00DF06C7">
        <w:rPr>
          <w:bCs/>
          <w:i/>
          <w:vertAlign w:val="superscript"/>
          <w:lang w:val="en-ZA"/>
        </w:rPr>
        <w:t>th</w:t>
      </w:r>
      <w:r w:rsidR="009D3AE4" w:rsidRPr="00DF06C7">
        <w:rPr>
          <w:bCs/>
          <w:i/>
          <w:lang w:val="en-ZA"/>
        </w:rPr>
        <w:t xml:space="preserve"> </w:t>
      </w:r>
      <w:r w:rsidR="00D832D4" w:rsidRPr="00DF06C7">
        <w:rPr>
          <w:bCs/>
          <w:i/>
          <w:lang w:val="en-ZA"/>
        </w:rPr>
        <w:t>EU PVSEC</w:t>
      </w:r>
      <w:r w:rsidR="00D832D4" w:rsidRPr="00DF06C7">
        <w:rPr>
          <w:bCs/>
          <w:lang w:val="en-ZA"/>
        </w:rPr>
        <w:t>,2010.</w:t>
      </w:r>
    </w:p>
    <w:p w14:paraId="071A701E" w14:textId="1BB95308" w:rsidR="004F2FFA" w:rsidRPr="00DF06C7" w:rsidRDefault="00D832D4" w:rsidP="00BE3C7A">
      <w:pPr>
        <w:pStyle w:val="Reference"/>
        <w:numPr>
          <w:ilvl w:val="0"/>
          <w:numId w:val="0"/>
        </w:numPr>
        <w:rPr>
          <w:bCs/>
          <w:i/>
          <w:lang w:val="en-ZA"/>
        </w:rPr>
      </w:pPr>
      <w:r w:rsidRPr="00DF06C7">
        <w:rPr>
          <w:bCs/>
          <w:lang w:val="en-ZA"/>
        </w:rPr>
        <w:t>[</w:t>
      </w:r>
      <w:r w:rsidR="00DF06C7" w:rsidRPr="00DF06C7">
        <w:rPr>
          <w:bCs/>
          <w:lang w:val="en-ZA"/>
        </w:rPr>
        <w:t>5</w:t>
      </w:r>
      <w:r w:rsidRPr="00DF06C7">
        <w:rPr>
          <w:bCs/>
          <w:lang w:val="en-ZA"/>
        </w:rPr>
        <w:t xml:space="preserve">] </w:t>
      </w:r>
      <w:r w:rsidRPr="00DF06C7">
        <w:rPr>
          <w:bCs/>
          <w:lang w:val="en-ZA"/>
        </w:rPr>
        <w:tab/>
      </w:r>
      <w:r w:rsidR="004F2FFA" w:rsidRPr="00DF06C7">
        <w:rPr>
          <w:bCs/>
          <w:lang w:val="en-ZA"/>
        </w:rPr>
        <w:t xml:space="preserve">Eikelboom .J.A and Jansen. M.A. Characterisation of PV Modules of New Generations. </w:t>
      </w:r>
      <w:r w:rsidR="004F2FFA" w:rsidRPr="00DF06C7">
        <w:rPr>
          <w:bCs/>
          <w:i/>
          <w:lang w:val="en-ZA"/>
        </w:rPr>
        <w:t>ECN</w:t>
      </w:r>
    </w:p>
    <w:p w14:paraId="3BC9018B" w14:textId="57F40CD0" w:rsidR="0046648D" w:rsidRPr="00DF06C7" w:rsidRDefault="004F2FFA" w:rsidP="00BE3C7A">
      <w:pPr>
        <w:pStyle w:val="Reference"/>
        <w:numPr>
          <w:ilvl w:val="0"/>
          <w:numId w:val="0"/>
        </w:numPr>
        <w:rPr>
          <w:bCs/>
          <w:lang w:val="en-ZA"/>
        </w:rPr>
      </w:pPr>
      <w:r w:rsidRPr="00DF06C7">
        <w:rPr>
          <w:bCs/>
          <w:i/>
          <w:lang w:val="en-ZA"/>
        </w:rPr>
        <w:tab/>
        <w:t>C-00-067</w:t>
      </w:r>
      <w:r w:rsidRPr="00DF06C7">
        <w:rPr>
          <w:bCs/>
          <w:lang w:val="en-ZA"/>
        </w:rPr>
        <w:t>, 2000.</w:t>
      </w:r>
    </w:p>
    <w:p w14:paraId="294D063E" w14:textId="368A4D77" w:rsidR="005E3CB9" w:rsidRPr="00DF06C7" w:rsidRDefault="005E3CB9" w:rsidP="00BE3C7A">
      <w:pPr>
        <w:pStyle w:val="Reference"/>
        <w:numPr>
          <w:ilvl w:val="0"/>
          <w:numId w:val="0"/>
        </w:numPr>
        <w:ind w:left="567" w:hanging="567"/>
        <w:rPr>
          <w:bCs/>
          <w:lang w:val="en-ZA"/>
        </w:rPr>
      </w:pPr>
      <w:r w:rsidRPr="00DF06C7">
        <w:rPr>
          <w:bCs/>
          <w:lang w:val="en-ZA"/>
        </w:rPr>
        <w:t>[</w:t>
      </w:r>
      <w:r w:rsidR="00DF06C7" w:rsidRPr="00DF06C7">
        <w:rPr>
          <w:bCs/>
          <w:lang w:val="en-ZA"/>
        </w:rPr>
        <w:t>6</w:t>
      </w:r>
      <w:r w:rsidRPr="00DF06C7">
        <w:rPr>
          <w:bCs/>
          <w:lang w:val="en-ZA"/>
        </w:rPr>
        <w:t>]</w:t>
      </w:r>
      <w:r w:rsidRPr="00DF06C7">
        <w:rPr>
          <w:bCs/>
          <w:lang w:val="en-ZA"/>
        </w:rPr>
        <w:tab/>
        <w:t>M Simon, 2009. On the evaluation of spectral effects on photovoltaic modules performance parameters and hot spots in solar cells. PhD Thesis.</w:t>
      </w:r>
    </w:p>
    <w:p w14:paraId="3AD0F4D1" w14:textId="1EDE0A2F" w:rsidR="00A12306" w:rsidRPr="00DF06C7" w:rsidRDefault="0048556A" w:rsidP="00BE3C7A">
      <w:pPr>
        <w:pStyle w:val="Reference"/>
        <w:numPr>
          <w:ilvl w:val="0"/>
          <w:numId w:val="0"/>
        </w:numPr>
        <w:ind w:left="851" w:hanging="851"/>
        <w:rPr>
          <w:bCs/>
          <w:lang w:val="en-ZA"/>
        </w:rPr>
      </w:pPr>
      <w:r w:rsidRPr="00DF06C7">
        <w:rPr>
          <w:bCs/>
          <w:lang w:val="en-ZA"/>
        </w:rPr>
        <w:t>[</w:t>
      </w:r>
      <w:r w:rsidR="00DF06C7" w:rsidRPr="00DF06C7">
        <w:rPr>
          <w:bCs/>
          <w:lang w:val="en-ZA"/>
        </w:rPr>
        <w:t>7</w:t>
      </w:r>
      <w:r w:rsidR="00A12306" w:rsidRPr="00DF06C7">
        <w:rPr>
          <w:bCs/>
          <w:lang w:val="en-ZA"/>
        </w:rPr>
        <w:t>]</w:t>
      </w:r>
      <w:r w:rsidR="00A12306" w:rsidRPr="00DF06C7">
        <w:rPr>
          <w:bCs/>
          <w:lang w:val="en-ZA"/>
        </w:rPr>
        <w:tab/>
        <w:t>Wei He, Tin-Tai Chow, Jie Ji , Jianping Lu, Gang Pei,Lok-shun Chan, 2006. Hybrid</w:t>
      </w:r>
    </w:p>
    <w:p w14:paraId="7D4CD5FB" w14:textId="77777777" w:rsidR="00FC20E0" w:rsidRPr="00DF06C7" w:rsidRDefault="00A12306" w:rsidP="00BE3C7A">
      <w:pPr>
        <w:pStyle w:val="Reference"/>
        <w:numPr>
          <w:ilvl w:val="0"/>
          <w:numId w:val="0"/>
        </w:numPr>
        <w:ind w:left="851" w:hanging="851"/>
        <w:rPr>
          <w:bCs/>
          <w:i/>
          <w:lang w:val="en-ZA"/>
        </w:rPr>
      </w:pPr>
      <w:r w:rsidRPr="00DF06C7">
        <w:rPr>
          <w:bCs/>
          <w:lang w:val="en-ZA"/>
        </w:rPr>
        <w:tab/>
        <w:t xml:space="preserve">photovoltaic and thermal solar-collector designed for natural circulation of water. </w:t>
      </w:r>
      <w:r w:rsidR="00FC20E0" w:rsidRPr="00DF06C7">
        <w:rPr>
          <w:bCs/>
          <w:i/>
          <w:lang w:val="en-ZA"/>
        </w:rPr>
        <w:t>Applied</w:t>
      </w:r>
    </w:p>
    <w:p w14:paraId="07B9F925" w14:textId="77777777" w:rsidR="00A12306" w:rsidRPr="00DF06C7" w:rsidRDefault="00FC20E0" w:rsidP="00BE3C7A">
      <w:pPr>
        <w:pStyle w:val="Reference"/>
        <w:numPr>
          <w:ilvl w:val="0"/>
          <w:numId w:val="0"/>
        </w:numPr>
        <w:ind w:left="851" w:hanging="851"/>
        <w:rPr>
          <w:bCs/>
          <w:lang w:val="en-ZA"/>
        </w:rPr>
      </w:pPr>
      <w:r w:rsidRPr="00DF06C7">
        <w:rPr>
          <w:bCs/>
          <w:i/>
          <w:lang w:val="en-ZA"/>
        </w:rPr>
        <w:tab/>
      </w:r>
      <w:r w:rsidR="00A12306" w:rsidRPr="00DF06C7">
        <w:rPr>
          <w:bCs/>
          <w:i/>
          <w:lang w:val="en-ZA"/>
        </w:rPr>
        <w:t xml:space="preserve">Energy 83 </w:t>
      </w:r>
      <w:r w:rsidR="00A12306" w:rsidRPr="00DF06C7">
        <w:rPr>
          <w:bCs/>
          <w:lang w:val="en-ZA"/>
        </w:rPr>
        <w:t>(2006) 199–210</w:t>
      </w:r>
    </w:p>
    <w:p w14:paraId="0497B6C5" w14:textId="28D37230" w:rsidR="008F3CAE" w:rsidRPr="00DF06C7" w:rsidRDefault="0048556A" w:rsidP="00BE3C7A">
      <w:pPr>
        <w:pStyle w:val="Reference"/>
        <w:numPr>
          <w:ilvl w:val="0"/>
          <w:numId w:val="0"/>
        </w:numPr>
        <w:ind w:left="851" w:hanging="851"/>
        <w:rPr>
          <w:bCs/>
          <w:lang w:val="en-ZA"/>
        </w:rPr>
      </w:pPr>
      <w:r w:rsidRPr="00DF06C7">
        <w:rPr>
          <w:bCs/>
          <w:lang w:val="en-ZA"/>
        </w:rPr>
        <w:t>[</w:t>
      </w:r>
      <w:r w:rsidR="00DF06C7" w:rsidRPr="00DF06C7">
        <w:rPr>
          <w:bCs/>
          <w:lang w:val="en-ZA"/>
        </w:rPr>
        <w:t>8</w:t>
      </w:r>
      <w:r w:rsidR="008F3CAE" w:rsidRPr="00DF06C7">
        <w:rPr>
          <w:bCs/>
          <w:lang w:val="en-ZA"/>
        </w:rPr>
        <w:t>]</w:t>
      </w:r>
      <w:r w:rsidR="008F3CAE" w:rsidRPr="00DF06C7">
        <w:rPr>
          <w:bCs/>
          <w:lang w:val="en-ZA"/>
        </w:rPr>
        <w:tab/>
        <w:t>B. J. Huang, T. H. Lin, W. C. Hung and F. S. Sun, 2001.</w:t>
      </w:r>
      <w:r w:rsidR="008F3CAE" w:rsidRPr="00DF06C7">
        <w:rPr>
          <w:rFonts w:ascii="Times New Roman" w:hAnsi="Times New Roman"/>
          <w:lang w:val="en-ZA" w:eastAsia="en-ZA"/>
        </w:rPr>
        <w:t xml:space="preserve"> </w:t>
      </w:r>
      <w:r w:rsidR="008F3CAE" w:rsidRPr="00DF06C7">
        <w:rPr>
          <w:bCs/>
          <w:lang w:val="en-ZA"/>
        </w:rPr>
        <w:t>Performance Evaluation of Solar</w:t>
      </w:r>
    </w:p>
    <w:p w14:paraId="4B4B4B21" w14:textId="77777777" w:rsidR="0046648D" w:rsidRPr="00DF06C7" w:rsidRDefault="008F3CAE" w:rsidP="00BE3C7A">
      <w:pPr>
        <w:pStyle w:val="Reference"/>
        <w:numPr>
          <w:ilvl w:val="0"/>
          <w:numId w:val="0"/>
        </w:numPr>
        <w:ind w:left="851" w:hanging="851"/>
        <w:rPr>
          <w:bCs/>
          <w:lang w:val="en-ZA"/>
        </w:rPr>
      </w:pPr>
      <w:r w:rsidRPr="00DF06C7">
        <w:rPr>
          <w:bCs/>
          <w:lang w:val="en-ZA"/>
        </w:rPr>
        <w:tab/>
        <w:t xml:space="preserve">Photovoltaic/ Thermal Systems. </w:t>
      </w:r>
      <w:r w:rsidRPr="00DF06C7">
        <w:rPr>
          <w:bCs/>
          <w:i/>
          <w:lang w:val="en-ZA"/>
        </w:rPr>
        <w:t xml:space="preserve">Solar Energy </w:t>
      </w:r>
      <w:r w:rsidRPr="00DF06C7">
        <w:rPr>
          <w:bCs/>
          <w:lang w:val="en-ZA"/>
        </w:rPr>
        <w:t>Vol. 70, No. 5, pp. 443–448, 2001.</w:t>
      </w:r>
      <w:r w:rsidR="005E3CB9" w:rsidRPr="00DF06C7">
        <w:rPr>
          <w:bCs/>
          <w:lang w:val="en-ZA"/>
        </w:rPr>
        <w:t xml:space="preserve"> </w:t>
      </w:r>
    </w:p>
    <w:sectPr w:rsidR="0046648D" w:rsidRPr="00DF06C7" w:rsidSect="00CA2A54">
      <w:footnotePr>
        <w:pos w:val="beneathText"/>
      </w:footnotePr>
      <w:endnotePr>
        <w:numFmt w:val="chicago"/>
        <w:numStart w:val="4"/>
      </w:endnotePr>
      <w:pgSz w:w="11907" w:h="16840" w:code="9"/>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2601" w14:textId="77777777" w:rsidR="005D07D8" w:rsidRDefault="005D07D8">
      <w:r>
        <w:separator/>
      </w:r>
    </w:p>
  </w:endnote>
  <w:endnote w:type="continuationSeparator" w:id="0">
    <w:p w14:paraId="47D1D513" w14:textId="77777777" w:rsidR="005D07D8" w:rsidRDefault="005D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abon">
    <w:altName w:val="Courier New"/>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10EC" w14:textId="77777777" w:rsidR="005D07D8" w:rsidRPr="00043761" w:rsidRDefault="005D07D8">
      <w:pPr>
        <w:pStyle w:val="Bulleted"/>
        <w:numPr>
          <w:ilvl w:val="0"/>
          <w:numId w:val="0"/>
        </w:numPr>
        <w:rPr>
          <w:rFonts w:ascii="Sabon" w:hAnsi="Sabon"/>
          <w:color w:val="auto"/>
          <w:szCs w:val="20"/>
        </w:rPr>
      </w:pPr>
      <w:r>
        <w:separator/>
      </w:r>
    </w:p>
  </w:footnote>
  <w:footnote w:type="continuationSeparator" w:id="0">
    <w:p w14:paraId="4A09707D" w14:textId="77777777" w:rsidR="005D07D8" w:rsidRDefault="005D0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99DCFF1C"/>
    <w:lvl w:ilvl="0">
      <w:start w:val="1"/>
      <w:numFmt w:val="decimal"/>
      <w:pStyle w:val="Section"/>
      <w:suff w:val="nothing"/>
      <w:lvlText w:val="%1"/>
      <w:lvlJc w:val="left"/>
      <w:pPr>
        <w:ind w:left="1134" w:firstLine="0"/>
      </w:pPr>
      <w:rPr>
        <w:rFonts w:hint="default"/>
      </w:rPr>
    </w:lvl>
    <w:lvl w:ilvl="1">
      <w:start w:val="1"/>
      <w:numFmt w:val="decimal"/>
      <w:pStyle w:val="Subsection"/>
      <w:suff w:val="nothing"/>
      <w:lvlText w:val="%1.%2.  "/>
      <w:lvlJc w:val="left"/>
      <w:pPr>
        <w:ind w:left="1134" w:firstLine="0"/>
      </w:pPr>
      <w:rPr>
        <w:rFonts w:hint="default"/>
      </w:rPr>
    </w:lvl>
    <w:lvl w:ilvl="2">
      <w:start w:val="1"/>
      <w:numFmt w:val="decimal"/>
      <w:pStyle w:val="Subsubsection"/>
      <w:suff w:val="nothing"/>
      <w:lvlText w:val="%1.%2.%3.  "/>
      <w:lvlJc w:val="left"/>
      <w:pPr>
        <w:ind w:left="1134" w:firstLine="142"/>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11376"/>
    <w:multiLevelType w:val="multilevel"/>
    <w:tmpl w:val="90DA85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3C8325F2"/>
    <w:multiLevelType w:val="multilevel"/>
    <w:tmpl w:val="6D6C5F2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A5407E4"/>
    <w:multiLevelType w:val="multilevel"/>
    <w:tmpl w:val="C39EF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D9556E6"/>
    <w:multiLevelType w:val="hybridMultilevel"/>
    <w:tmpl w:val="4DD8EAE2"/>
    <w:lvl w:ilvl="0" w:tplc="68DC5CD8">
      <w:start w:val="1"/>
      <w:numFmt w:val="decimal"/>
      <w:pStyle w:val="Reference"/>
      <w:lvlText w:val="[%1]"/>
      <w:lvlJc w:val="left"/>
      <w:pPr>
        <w:tabs>
          <w:tab w:val="num" w:pos="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87"/>
    <w:rsid w:val="00001659"/>
    <w:rsid w:val="000114BF"/>
    <w:rsid w:val="0001161E"/>
    <w:rsid w:val="00024ADE"/>
    <w:rsid w:val="00030436"/>
    <w:rsid w:val="00037044"/>
    <w:rsid w:val="00044369"/>
    <w:rsid w:val="00044812"/>
    <w:rsid w:val="00045A07"/>
    <w:rsid w:val="00051C7F"/>
    <w:rsid w:val="00055D6C"/>
    <w:rsid w:val="0006369E"/>
    <w:rsid w:val="00067DAE"/>
    <w:rsid w:val="000728F9"/>
    <w:rsid w:val="0008380A"/>
    <w:rsid w:val="00085306"/>
    <w:rsid w:val="000A3C99"/>
    <w:rsid w:val="000D36A2"/>
    <w:rsid w:val="000F0071"/>
    <w:rsid w:val="00104995"/>
    <w:rsid w:val="00115E0C"/>
    <w:rsid w:val="00117820"/>
    <w:rsid w:val="0016574A"/>
    <w:rsid w:val="001669A0"/>
    <w:rsid w:val="0017618F"/>
    <w:rsid w:val="00192F42"/>
    <w:rsid w:val="001A114D"/>
    <w:rsid w:val="001A3E47"/>
    <w:rsid w:val="001B6297"/>
    <w:rsid w:val="001B65FA"/>
    <w:rsid w:val="001C12C7"/>
    <w:rsid w:val="001D023C"/>
    <w:rsid w:val="001D2B7B"/>
    <w:rsid w:val="001E5BC5"/>
    <w:rsid w:val="001F5AAE"/>
    <w:rsid w:val="002103EC"/>
    <w:rsid w:val="00222958"/>
    <w:rsid w:val="00231268"/>
    <w:rsid w:val="00244E5B"/>
    <w:rsid w:val="002457DD"/>
    <w:rsid w:val="002652B9"/>
    <w:rsid w:val="0027214E"/>
    <w:rsid w:val="0028149A"/>
    <w:rsid w:val="002846B0"/>
    <w:rsid w:val="00292CBC"/>
    <w:rsid w:val="002B0188"/>
    <w:rsid w:val="002E03BB"/>
    <w:rsid w:val="00303E3D"/>
    <w:rsid w:val="0032421C"/>
    <w:rsid w:val="00355C4F"/>
    <w:rsid w:val="00356994"/>
    <w:rsid w:val="0038632C"/>
    <w:rsid w:val="00387F04"/>
    <w:rsid w:val="003950B3"/>
    <w:rsid w:val="00396364"/>
    <w:rsid w:val="003B0C33"/>
    <w:rsid w:val="003B4DD5"/>
    <w:rsid w:val="003E0280"/>
    <w:rsid w:val="003E5CD4"/>
    <w:rsid w:val="00421961"/>
    <w:rsid w:val="0042554D"/>
    <w:rsid w:val="00431C2E"/>
    <w:rsid w:val="0044085F"/>
    <w:rsid w:val="00447760"/>
    <w:rsid w:val="00456793"/>
    <w:rsid w:val="0046460F"/>
    <w:rsid w:val="0046648D"/>
    <w:rsid w:val="004747CB"/>
    <w:rsid w:val="00483A79"/>
    <w:rsid w:val="0048556A"/>
    <w:rsid w:val="004867D9"/>
    <w:rsid w:val="00487234"/>
    <w:rsid w:val="00491220"/>
    <w:rsid w:val="004C2B54"/>
    <w:rsid w:val="004C72CC"/>
    <w:rsid w:val="004F2FFA"/>
    <w:rsid w:val="00512C50"/>
    <w:rsid w:val="00512EA5"/>
    <w:rsid w:val="0054312A"/>
    <w:rsid w:val="00552415"/>
    <w:rsid w:val="00567102"/>
    <w:rsid w:val="00584C43"/>
    <w:rsid w:val="005878DC"/>
    <w:rsid w:val="00597EC4"/>
    <w:rsid w:val="005A0B3C"/>
    <w:rsid w:val="005B3B46"/>
    <w:rsid w:val="005C6F37"/>
    <w:rsid w:val="005D07D8"/>
    <w:rsid w:val="005E3CB9"/>
    <w:rsid w:val="005F7022"/>
    <w:rsid w:val="00617243"/>
    <w:rsid w:val="00632B3A"/>
    <w:rsid w:val="00634D65"/>
    <w:rsid w:val="006809B6"/>
    <w:rsid w:val="00682098"/>
    <w:rsid w:val="00683D2D"/>
    <w:rsid w:val="006903E0"/>
    <w:rsid w:val="006A5E94"/>
    <w:rsid w:val="006C624D"/>
    <w:rsid w:val="006D01C5"/>
    <w:rsid w:val="006D63AE"/>
    <w:rsid w:val="006E2E24"/>
    <w:rsid w:val="006E732F"/>
    <w:rsid w:val="006F147C"/>
    <w:rsid w:val="00722595"/>
    <w:rsid w:val="007422F6"/>
    <w:rsid w:val="0074635B"/>
    <w:rsid w:val="0075049D"/>
    <w:rsid w:val="00754F4D"/>
    <w:rsid w:val="007563C0"/>
    <w:rsid w:val="007B244F"/>
    <w:rsid w:val="007D54CB"/>
    <w:rsid w:val="007E235B"/>
    <w:rsid w:val="007F3897"/>
    <w:rsid w:val="00806BAC"/>
    <w:rsid w:val="00813DBC"/>
    <w:rsid w:val="00821C97"/>
    <w:rsid w:val="00826482"/>
    <w:rsid w:val="00831DA9"/>
    <w:rsid w:val="0083764A"/>
    <w:rsid w:val="008468CE"/>
    <w:rsid w:val="00864C53"/>
    <w:rsid w:val="00873B19"/>
    <w:rsid w:val="00883BCD"/>
    <w:rsid w:val="00892BBB"/>
    <w:rsid w:val="008B0775"/>
    <w:rsid w:val="008C6A29"/>
    <w:rsid w:val="008F3CAE"/>
    <w:rsid w:val="008F728A"/>
    <w:rsid w:val="00903A55"/>
    <w:rsid w:val="00936501"/>
    <w:rsid w:val="00937875"/>
    <w:rsid w:val="00943151"/>
    <w:rsid w:val="00950A7D"/>
    <w:rsid w:val="00956390"/>
    <w:rsid w:val="00957DE4"/>
    <w:rsid w:val="009656AD"/>
    <w:rsid w:val="00966113"/>
    <w:rsid w:val="0098262D"/>
    <w:rsid w:val="00987CDF"/>
    <w:rsid w:val="00992E9C"/>
    <w:rsid w:val="00993C51"/>
    <w:rsid w:val="009A7D28"/>
    <w:rsid w:val="009B73DC"/>
    <w:rsid w:val="009B7A41"/>
    <w:rsid w:val="009C25C0"/>
    <w:rsid w:val="009C43CB"/>
    <w:rsid w:val="009C747A"/>
    <w:rsid w:val="009D3AE4"/>
    <w:rsid w:val="009D75B3"/>
    <w:rsid w:val="009F0CB8"/>
    <w:rsid w:val="00A12306"/>
    <w:rsid w:val="00A23D9E"/>
    <w:rsid w:val="00A253A0"/>
    <w:rsid w:val="00A30506"/>
    <w:rsid w:val="00A32219"/>
    <w:rsid w:val="00A41E30"/>
    <w:rsid w:val="00A5075A"/>
    <w:rsid w:val="00A5408E"/>
    <w:rsid w:val="00A54EDA"/>
    <w:rsid w:val="00A70163"/>
    <w:rsid w:val="00A73503"/>
    <w:rsid w:val="00A75514"/>
    <w:rsid w:val="00A825EE"/>
    <w:rsid w:val="00AA1F7A"/>
    <w:rsid w:val="00AB4371"/>
    <w:rsid w:val="00AD0BFF"/>
    <w:rsid w:val="00AD309D"/>
    <w:rsid w:val="00AD6C3D"/>
    <w:rsid w:val="00AE192A"/>
    <w:rsid w:val="00AE7995"/>
    <w:rsid w:val="00AF332C"/>
    <w:rsid w:val="00AF5F80"/>
    <w:rsid w:val="00B007E8"/>
    <w:rsid w:val="00B035DD"/>
    <w:rsid w:val="00B038EA"/>
    <w:rsid w:val="00B10EE8"/>
    <w:rsid w:val="00B12CCE"/>
    <w:rsid w:val="00B161A6"/>
    <w:rsid w:val="00B238D8"/>
    <w:rsid w:val="00B2416B"/>
    <w:rsid w:val="00B41238"/>
    <w:rsid w:val="00B516CF"/>
    <w:rsid w:val="00B54E0D"/>
    <w:rsid w:val="00B631D0"/>
    <w:rsid w:val="00B81DCB"/>
    <w:rsid w:val="00B84A4B"/>
    <w:rsid w:val="00B934D4"/>
    <w:rsid w:val="00B95C87"/>
    <w:rsid w:val="00BA1DC5"/>
    <w:rsid w:val="00BB5C5A"/>
    <w:rsid w:val="00BC209A"/>
    <w:rsid w:val="00BC2687"/>
    <w:rsid w:val="00BD0EF3"/>
    <w:rsid w:val="00BD3665"/>
    <w:rsid w:val="00BD662E"/>
    <w:rsid w:val="00BE3C7A"/>
    <w:rsid w:val="00C11F8B"/>
    <w:rsid w:val="00C2565F"/>
    <w:rsid w:val="00C3533F"/>
    <w:rsid w:val="00C427C9"/>
    <w:rsid w:val="00C46B37"/>
    <w:rsid w:val="00C673DB"/>
    <w:rsid w:val="00C74234"/>
    <w:rsid w:val="00C8226D"/>
    <w:rsid w:val="00C83002"/>
    <w:rsid w:val="00C95078"/>
    <w:rsid w:val="00CA1B67"/>
    <w:rsid w:val="00CA2A54"/>
    <w:rsid w:val="00CB01FC"/>
    <w:rsid w:val="00CB1F19"/>
    <w:rsid w:val="00CC0FB4"/>
    <w:rsid w:val="00CE0736"/>
    <w:rsid w:val="00CF7BF9"/>
    <w:rsid w:val="00D00628"/>
    <w:rsid w:val="00D17885"/>
    <w:rsid w:val="00D179A0"/>
    <w:rsid w:val="00D2526C"/>
    <w:rsid w:val="00D3368F"/>
    <w:rsid w:val="00D34FEC"/>
    <w:rsid w:val="00D65847"/>
    <w:rsid w:val="00D7354C"/>
    <w:rsid w:val="00D832D4"/>
    <w:rsid w:val="00D9165B"/>
    <w:rsid w:val="00D95917"/>
    <w:rsid w:val="00D97724"/>
    <w:rsid w:val="00DB42AF"/>
    <w:rsid w:val="00DE2295"/>
    <w:rsid w:val="00DF030A"/>
    <w:rsid w:val="00DF06C7"/>
    <w:rsid w:val="00DF0FBD"/>
    <w:rsid w:val="00E02533"/>
    <w:rsid w:val="00E16089"/>
    <w:rsid w:val="00E22883"/>
    <w:rsid w:val="00E25695"/>
    <w:rsid w:val="00E2637E"/>
    <w:rsid w:val="00E319CD"/>
    <w:rsid w:val="00E37268"/>
    <w:rsid w:val="00E6220E"/>
    <w:rsid w:val="00E6574A"/>
    <w:rsid w:val="00E733BA"/>
    <w:rsid w:val="00E75C25"/>
    <w:rsid w:val="00E8758B"/>
    <w:rsid w:val="00E93367"/>
    <w:rsid w:val="00EA1F2A"/>
    <w:rsid w:val="00ED7677"/>
    <w:rsid w:val="00EE5565"/>
    <w:rsid w:val="00EF1B3C"/>
    <w:rsid w:val="00F11D92"/>
    <w:rsid w:val="00F156DF"/>
    <w:rsid w:val="00F17D16"/>
    <w:rsid w:val="00F4522B"/>
    <w:rsid w:val="00F611AE"/>
    <w:rsid w:val="00F632E9"/>
    <w:rsid w:val="00F83A45"/>
    <w:rsid w:val="00F87E67"/>
    <w:rsid w:val="00FB3F8A"/>
    <w:rsid w:val="00FB5D7D"/>
    <w:rsid w:val="00FB6A28"/>
    <w:rsid w:val="00FC20E0"/>
    <w:rsid w:val="00FC30E6"/>
    <w:rsid w:val="00FC69C1"/>
    <w:rsid w:val="00FD010F"/>
    <w:rsid w:val="00FE0913"/>
    <w:rsid w:val="00FE7CA7"/>
    <w:rsid w:val="00FF57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C4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link w:val="FootnoteTextChar"/>
    <w:uiPriority w:val="99"/>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styleId="Hyperlink">
    <w:name w:val="Hyperlink"/>
    <w:basedOn w:val="DefaultParagraphFont"/>
    <w:uiPriority w:val="99"/>
    <w:unhideWhenUsed/>
    <w:rsid w:val="00DF0FBD"/>
    <w:rPr>
      <w:color w:val="0000FF" w:themeColor="hyperlink"/>
      <w:u w:val="single"/>
    </w:rPr>
  </w:style>
  <w:style w:type="character" w:styleId="PlaceholderText">
    <w:name w:val="Placeholder Text"/>
    <w:basedOn w:val="DefaultParagraphFont"/>
    <w:uiPriority w:val="99"/>
    <w:semiHidden/>
    <w:rsid w:val="00943151"/>
    <w:rPr>
      <w:color w:val="808080"/>
    </w:rPr>
  </w:style>
  <w:style w:type="paragraph" w:styleId="BalloonText">
    <w:name w:val="Balloon Text"/>
    <w:basedOn w:val="Normal"/>
    <w:link w:val="BalloonTextChar"/>
    <w:uiPriority w:val="99"/>
    <w:semiHidden/>
    <w:unhideWhenUsed/>
    <w:rsid w:val="00943151"/>
    <w:rPr>
      <w:rFonts w:ascii="Tahoma" w:hAnsi="Tahoma" w:cs="Tahoma"/>
      <w:sz w:val="16"/>
      <w:szCs w:val="16"/>
    </w:rPr>
  </w:style>
  <w:style w:type="character" w:customStyle="1" w:styleId="BalloonTextChar">
    <w:name w:val="Balloon Text Char"/>
    <w:basedOn w:val="DefaultParagraphFont"/>
    <w:link w:val="BalloonText"/>
    <w:uiPriority w:val="99"/>
    <w:semiHidden/>
    <w:rsid w:val="00943151"/>
    <w:rPr>
      <w:rFonts w:ascii="Tahoma" w:hAnsi="Tahoma" w:cs="Tahoma"/>
      <w:sz w:val="16"/>
      <w:szCs w:val="16"/>
      <w:lang w:val="en-GB" w:eastAsia="en-US"/>
    </w:rPr>
  </w:style>
  <w:style w:type="table" w:styleId="TableGrid">
    <w:name w:val="Table Grid"/>
    <w:basedOn w:val="TableNormal"/>
    <w:uiPriority w:val="59"/>
    <w:rsid w:val="00FE0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32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863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01659"/>
    <w:rPr>
      <w:color w:val="800080" w:themeColor="followedHyperlink"/>
      <w:u w:val="single"/>
    </w:rPr>
  </w:style>
  <w:style w:type="paragraph" w:customStyle="1" w:styleId="DecimalAligned">
    <w:name w:val="Decimal Aligned"/>
    <w:basedOn w:val="Normal"/>
    <w:uiPriority w:val="40"/>
    <w:qFormat/>
    <w:rsid w:val="00E02533"/>
    <w:pPr>
      <w:tabs>
        <w:tab w:val="decimal" w:pos="360"/>
      </w:tabs>
      <w:spacing w:after="200" w:line="276" w:lineRule="auto"/>
    </w:pPr>
    <w:rPr>
      <w:rFonts w:asciiTheme="minorHAnsi" w:eastAsiaTheme="minorHAnsi" w:hAnsiTheme="minorHAnsi" w:cstheme="minorBidi"/>
      <w:szCs w:val="22"/>
      <w:lang w:val="en-US" w:eastAsia="ja-JP"/>
    </w:rPr>
  </w:style>
  <w:style w:type="character" w:customStyle="1" w:styleId="FootnoteTextChar">
    <w:name w:val="Footnote Text Char"/>
    <w:basedOn w:val="DefaultParagraphFont"/>
    <w:link w:val="FootnoteText"/>
    <w:uiPriority w:val="99"/>
    <w:rsid w:val="00E02533"/>
    <w:rPr>
      <w:rFonts w:ascii="Times" w:hAnsi="Times"/>
      <w:lang w:val="en-GB" w:eastAsia="en-US"/>
    </w:rPr>
  </w:style>
  <w:style w:type="character" w:styleId="SubtleEmphasis">
    <w:name w:val="Subtle Emphasis"/>
    <w:basedOn w:val="DefaultParagraphFont"/>
    <w:uiPriority w:val="19"/>
    <w:qFormat/>
    <w:rsid w:val="00E02533"/>
    <w:rPr>
      <w:i/>
      <w:iCs/>
      <w:color w:val="7F7F7F" w:themeColor="text1" w:themeTint="80"/>
    </w:rPr>
  </w:style>
  <w:style w:type="table" w:styleId="LightShading-Accent1">
    <w:name w:val="Light Shading Accent 1"/>
    <w:basedOn w:val="TableNormal"/>
    <w:uiPriority w:val="60"/>
    <w:rsid w:val="00E02533"/>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E02533"/>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CA2A54"/>
    <w:pPr>
      <w:tabs>
        <w:tab w:val="center" w:pos="4320"/>
        <w:tab w:val="right" w:pos="8640"/>
      </w:tabs>
    </w:pPr>
  </w:style>
  <w:style w:type="character" w:customStyle="1" w:styleId="FooterChar">
    <w:name w:val="Footer Char"/>
    <w:basedOn w:val="DefaultParagraphFont"/>
    <w:link w:val="Footer"/>
    <w:uiPriority w:val="99"/>
    <w:rsid w:val="00CA2A54"/>
    <w:rPr>
      <w:rFonts w:ascii="Times" w:hAnsi="Times"/>
      <w:sz w:val="22"/>
      <w:lang w:val="en-GB" w:eastAsia="en-US"/>
    </w:rPr>
  </w:style>
  <w:style w:type="paragraph" w:styleId="Header">
    <w:name w:val="header"/>
    <w:basedOn w:val="Normal"/>
    <w:link w:val="HeaderChar"/>
    <w:uiPriority w:val="99"/>
    <w:unhideWhenUsed/>
    <w:rsid w:val="00CA2A54"/>
    <w:pPr>
      <w:tabs>
        <w:tab w:val="center" w:pos="4320"/>
        <w:tab w:val="right" w:pos="8640"/>
      </w:tabs>
    </w:pPr>
  </w:style>
  <w:style w:type="character" w:customStyle="1" w:styleId="HeaderChar">
    <w:name w:val="Header Char"/>
    <w:basedOn w:val="DefaultParagraphFont"/>
    <w:link w:val="Header"/>
    <w:uiPriority w:val="99"/>
    <w:rsid w:val="00CA2A54"/>
    <w:rPr>
      <w:rFonts w:ascii="Times" w:hAnsi="Times"/>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link w:val="FootnoteTextChar"/>
    <w:uiPriority w:val="99"/>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styleId="Hyperlink">
    <w:name w:val="Hyperlink"/>
    <w:basedOn w:val="DefaultParagraphFont"/>
    <w:uiPriority w:val="99"/>
    <w:unhideWhenUsed/>
    <w:rsid w:val="00DF0FBD"/>
    <w:rPr>
      <w:color w:val="0000FF" w:themeColor="hyperlink"/>
      <w:u w:val="single"/>
    </w:rPr>
  </w:style>
  <w:style w:type="character" w:styleId="PlaceholderText">
    <w:name w:val="Placeholder Text"/>
    <w:basedOn w:val="DefaultParagraphFont"/>
    <w:uiPriority w:val="99"/>
    <w:semiHidden/>
    <w:rsid w:val="00943151"/>
    <w:rPr>
      <w:color w:val="808080"/>
    </w:rPr>
  </w:style>
  <w:style w:type="paragraph" w:styleId="BalloonText">
    <w:name w:val="Balloon Text"/>
    <w:basedOn w:val="Normal"/>
    <w:link w:val="BalloonTextChar"/>
    <w:uiPriority w:val="99"/>
    <w:semiHidden/>
    <w:unhideWhenUsed/>
    <w:rsid w:val="00943151"/>
    <w:rPr>
      <w:rFonts w:ascii="Tahoma" w:hAnsi="Tahoma" w:cs="Tahoma"/>
      <w:sz w:val="16"/>
      <w:szCs w:val="16"/>
    </w:rPr>
  </w:style>
  <w:style w:type="character" w:customStyle="1" w:styleId="BalloonTextChar">
    <w:name w:val="Balloon Text Char"/>
    <w:basedOn w:val="DefaultParagraphFont"/>
    <w:link w:val="BalloonText"/>
    <w:uiPriority w:val="99"/>
    <w:semiHidden/>
    <w:rsid w:val="00943151"/>
    <w:rPr>
      <w:rFonts w:ascii="Tahoma" w:hAnsi="Tahoma" w:cs="Tahoma"/>
      <w:sz w:val="16"/>
      <w:szCs w:val="16"/>
      <w:lang w:val="en-GB" w:eastAsia="en-US"/>
    </w:rPr>
  </w:style>
  <w:style w:type="table" w:styleId="TableGrid">
    <w:name w:val="Table Grid"/>
    <w:basedOn w:val="TableNormal"/>
    <w:uiPriority w:val="59"/>
    <w:rsid w:val="00FE0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32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863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01659"/>
    <w:rPr>
      <w:color w:val="800080" w:themeColor="followedHyperlink"/>
      <w:u w:val="single"/>
    </w:rPr>
  </w:style>
  <w:style w:type="paragraph" w:customStyle="1" w:styleId="DecimalAligned">
    <w:name w:val="Decimal Aligned"/>
    <w:basedOn w:val="Normal"/>
    <w:uiPriority w:val="40"/>
    <w:qFormat/>
    <w:rsid w:val="00E02533"/>
    <w:pPr>
      <w:tabs>
        <w:tab w:val="decimal" w:pos="360"/>
      </w:tabs>
      <w:spacing w:after="200" w:line="276" w:lineRule="auto"/>
    </w:pPr>
    <w:rPr>
      <w:rFonts w:asciiTheme="minorHAnsi" w:eastAsiaTheme="minorHAnsi" w:hAnsiTheme="minorHAnsi" w:cstheme="minorBidi"/>
      <w:szCs w:val="22"/>
      <w:lang w:val="en-US" w:eastAsia="ja-JP"/>
    </w:rPr>
  </w:style>
  <w:style w:type="character" w:customStyle="1" w:styleId="FootnoteTextChar">
    <w:name w:val="Footnote Text Char"/>
    <w:basedOn w:val="DefaultParagraphFont"/>
    <w:link w:val="FootnoteText"/>
    <w:uiPriority w:val="99"/>
    <w:rsid w:val="00E02533"/>
    <w:rPr>
      <w:rFonts w:ascii="Times" w:hAnsi="Times"/>
      <w:lang w:val="en-GB" w:eastAsia="en-US"/>
    </w:rPr>
  </w:style>
  <w:style w:type="character" w:styleId="SubtleEmphasis">
    <w:name w:val="Subtle Emphasis"/>
    <w:basedOn w:val="DefaultParagraphFont"/>
    <w:uiPriority w:val="19"/>
    <w:qFormat/>
    <w:rsid w:val="00E02533"/>
    <w:rPr>
      <w:i/>
      <w:iCs/>
      <w:color w:val="7F7F7F" w:themeColor="text1" w:themeTint="80"/>
    </w:rPr>
  </w:style>
  <w:style w:type="table" w:styleId="LightShading-Accent1">
    <w:name w:val="Light Shading Accent 1"/>
    <w:basedOn w:val="TableNormal"/>
    <w:uiPriority w:val="60"/>
    <w:rsid w:val="00E02533"/>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E02533"/>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CA2A54"/>
    <w:pPr>
      <w:tabs>
        <w:tab w:val="center" w:pos="4320"/>
        <w:tab w:val="right" w:pos="8640"/>
      </w:tabs>
    </w:pPr>
  </w:style>
  <w:style w:type="character" w:customStyle="1" w:styleId="FooterChar">
    <w:name w:val="Footer Char"/>
    <w:basedOn w:val="DefaultParagraphFont"/>
    <w:link w:val="Footer"/>
    <w:uiPriority w:val="99"/>
    <w:rsid w:val="00CA2A54"/>
    <w:rPr>
      <w:rFonts w:ascii="Times" w:hAnsi="Times"/>
      <w:sz w:val="22"/>
      <w:lang w:val="en-GB" w:eastAsia="en-US"/>
    </w:rPr>
  </w:style>
  <w:style w:type="paragraph" w:styleId="Header">
    <w:name w:val="header"/>
    <w:basedOn w:val="Normal"/>
    <w:link w:val="HeaderChar"/>
    <w:uiPriority w:val="99"/>
    <w:unhideWhenUsed/>
    <w:rsid w:val="00CA2A54"/>
    <w:pPr>
      <w:tabs>
        <w:tab w:val="center" w:pos="4320"/>
        <w:tab w:val="right" w:pos="8640"/>
      </w:tabs>
    </w:pPr>
  </w:style>
  <w:style w:type="character" w:customStyle="1" w:styleId="HeaderChar">
    <w:name w:val="Header Char"/>
    <w:basedOn w:val="DefaultParagraphFont"/>
    <w:link w:val="Header"/>
    <w:uiPriority w:val="99"/>
    <w:rsid w:val="00CA2A54"/>
    <w:rPr>
      <w:rFonts w:ascii="Times" w:hAnsi="Time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047">
      <w:bodyDiv w:val="1"/>
      <w:marLeft w:val="0"/>
      <w:marRight w:val="0"/>
      <w:marTop w:val="0"/>
      <w:marBottom w:val="0"/>
      <w:divBdr>
        <w:top w:val="none" w:sz="0" w:space="0" w:color="auto"/>
        <w:left w:val="none" w:sz="0" w:space="0" w:color="auto"/>
        <w:bottom w:val="none" w:sz="0" w:space="0" w:color="auto"/>
        <w:right w:val="none" w:sz="0" w:space="0" w:color="auto"/>
      </w:divBdr>
    </w:div>
    <w:div w:id="48189097">
      <w:bodyDiv w:val="1"/>
      <w:marLeft w:val="0"/>
      <w:marRight w:val="0"/>
      <w:marTop w:val="0"/>
      <w:marBottom w:val="0"/>
      <w:divBdr>
        <w:top w:val="none" w:sz="0" w:space="0" w:color="auto"/>
        <w:left w:val="none" w:sz="0" w:space="0" w:color="auto"/>
        <w:bottom w:val="none" w:sz="0" w:space="0" w:color="auto"/>
        <w:right w:val="none" w:sz="0" w:space="0" w:color="auto"/>
      </w:divBdr>
    </w:div>
    <w:div w:id="72046739">
      <w:bodyDiv w:val="1"/>
      <w:marLeft w:val="0"/>
      <w:marRight w:val="0"/>
      <w:marTop w:val="0"/>
      <w:marBottom w:val="0"/>
      <w:divBdr>
        <w:top w:val="none" w:sz="0" w:space="0" w:color="auto"/>
        <w:left w:val="none" w:sz="0" w:space="0" w:color="auto"/>
        <w:bottom w:val="none" w:sz="0" w:space="0" w:color="auto"/>
        <w:right w:val="none" w:sz="0" w:space="0" w:color="auto"/>
      </w:divBdr>
    </w:div>
    <w:div w:id="93523998">
      <w:bodyDiv w:val="1"/>
      <w:marLeft w:val="0"/>
      <w:marRight w:val="0"/>
      <w:marTop w:val="0"/>
      <w:marBottom w:val="0"/>
      <w:divBdr>
        <w:top w:val="none" w:sz="0" w:space="0" w:color="auto"/>
        <w:left w:val="none" w:sz="0" w:space="0" w:color="auto"/>
        <w:bottom w:val="none" w:sz="0" w:space="0" w:color="auto"/>
        <w:right w:val="none" w:sz="0" w:space="0" w:color="auto"/>
      </w:divBdr>
    </w:div>
    <w:div w:id="219944005">
      <w:bodyDiv w:val="1"/>
      <w:marLeft w:val="0"/>
      <w:marRight w:val="0"/>
      <w:marTop w:val="0"/>
      <w:marBottom w:val="0"/>
      <w:divBdr>
        <w:top w:val="none" w:sz="0" w:space="0" w:color="auto"/>
        <w:left w:val="none" w:sz="0" w:space="0" w:color="auto"/>
        <w:bottom w:val="none" w:sz="0" w:space="0" w:color="auto"/>
        <w:right w:val="none" w:sz="0" w:space="0" w:color="auto"/>
      </w:divBdr>
    </w:div>
    <w:div w:id="426123027">
      <w:bodyDiv w:val="1"/>
      <w:marLeft w:val="0"/>
      <w:marRight w:val="0"/>
      <w:marTop w:val="0"/>
      <w:marBottom w:val="0"/>
      <w:divBdr>
        <w:top w:val="none" w:sz="0" w:space="0" w:color="auto"/>
        <w:left w:val="none" w:sz="0" w:space="0" w:color="auto"/>
        <w:bottom w:val="none" w:sz="0" w:space="0" w:color="auto"/>
        <w:right w:val="none" w:sz="0" w:space="0" w:color="auto"/>
      </w:divBdr>
    </w:div>
    <w:div w:id="451703807">
      <w:bodyDiv w:val="1"/>
      <w:marLeft w:val="0"/>
      <w:marRight w:val="0"/>
      <w:marTop w:val="0"/>
      <w:marBottom w:val="0"/>
      <w:divBdr>
        <w:top w:val="none" w:sz="0" w:space="0" w:color="auto"/>
        <w:left w:val="none" w:sz="0" w:space="0" w:color="auto"/>
        <w:bottom w:val="none" w:sz="0" w:space="0" w:color="auto"/>
        <w:right w:val="none" w:sz="0" w:space="0" w:color="auto"/>
      </w:divBdr>
    </w:div>
    <w:div w:id="500312509">
      <w:bodyDiv w:val="1"/>
      <w:marLeft w:val="0"/>
      <w:marRight w:val="0"/>
      <w:marTop w:val="0"/>
      <w:marBottom w:val="0"/>
      <w:divBdr>
        <w:top w:val="none" w:sz="0" w:space="0" w:color="auto"/>
        <w:left w:val="none" w:sz="0" w:space="0" w:color="auto"/>
        <w:bottom w:val="none" w:sz="0" w:space="0" w:color="auto"/>
        <w:right w:val="none" w:sz="0" w:space="0" w:color="auto"/>
      </w:divBdr>
    </w:div>
    <w:div w:id="507017253">
      <w:bodyDiv w:val="1"/>
      <w:marLeft w:val="0"/>
      <w:marRight w:val="0"/>
      <w:marTop w:val="0"/>
      <w:marBottom w:val="0"/>
      <w:divBdr>
        <w:top w:val="none" w:sz="0" w:space="0" w:color="auto"/>
        <w:left w:val="none" w:sz="0" w:space="0" w:color="auto"/>
        <w:bottom w:val="none" w:sz="0" w:space="0" w:color="auto"/>
        <w:right w:val="none" w:sz="0" w:space="0" w:color="auto"/>
      </w:divBdr>
    </w:div>
    <w:div w:id="521405858">
      <w:bodyDiv w:val="1"/>
      <w:marLeft w:val="0"/>
      <w:marRight w:val="0"/>
      <w:marTop w:val="0"/>
      <w:marBottom w:val="0"/>
      <w:divBdr>
        <w:top w:val="none" w:sz="0" w:space="0" w:color="auto"/>
        <w:left w:val="none" w:sz="0" w:space="0" w:color="auto"/>
        <w:bottom w:val="none" w:sz="0" w:space="0" w:color="auto"/>
        <w:right w:val="none" w:sz="0" w:space="0" w:color="auto"/>
      </w:divBdr>
    </w:div>
    <w:div w:id="531724510">
      <w:bodyDiv w:val="1"/>
      <w:marLeft w:val="0"/>
      <w:marRight w:val="0"/>
      <w:marTop w:val="0"/>
      <w:marBottom w:val="0"/>
      <w:divBdr>
        <w:top w:val="none" w:sz="0" w:space="0" w:color="auto"/>
        <w:left w:val="none" w:sz="0" w:space="0" w:color="auto"/>
        <w:bottom w:val="none" w:sz="0" w:space="0" w:color="auto"/>
        <w:right w:val="none" w:sz="0" w:space="0" w:color="auto"/>
      </w:divBdr>
    </w:div>
    <w:div w:id="564493874">
      <w:bodyDiv w:val="1"/>
      <w:marLeft w:val="0"/>
      <w:marRight w:val="0"/>
      <w:marTop w:val="0"/>
      <w:marBottom w:val="0"/>
      <w:divBdr>
        <w:top w:val="none" w:sz="0" w:space="0" w:color="auto"/>
        <w:left w:val="none" w:sz="0" w:space="0" w:color="auto"/>
        <w:bottom w:val="none" w:sz="0" w:space="0" w:color="auto"/>
        <w:right w:val="none" w:sz="0" w:space="0" w:color="auto"/>
      </w:divBdr>
    </w:div>
    <w:div w:id="578099812">
      <w:bodyDiv w:val="1"/>
      <w:marLeft w:val="0"/>
      <w:marRight w:val="0"/>
      <w:marTop w:val="0"/>
      <w:marBottom w:val="0"/>
      <w:divBdr>
        <w:top w:val="none" w:sz="0" w:space="0" w:color="auto"/>
        <w:left w:val="none" w:sz="0" w:space="0" w:color="auto"/>
        <w:bottom w:val="none" w:sz="0" w:space="0" w:color="auto"/>
        <w:right w:val="none" w:sz="0" w:space="0" w:color="auto"/>
      </w:divBdr>
    </w:div>
    <w:div w:id="648705370">
      <w:bodyDiv w:val="1"/>
      <w:marLeft w:val="0"/>
      <w:marRight w:val="0"/>
      <w:marTop w:val="0"/>
      <w:marBottom w:val="0"/>
      <w:divBdr>
        <w:top w:val="none" w:sz="0" w:space="0" w:color="auto"/>
        <w:left w:val="none" w:sz="0" w:space="0" w:color="auto"/>
        <w:bottom w:val="none" w:sz="0" w:space="0" w:color="auto"/>
        <w:right w:val="none" w:sz="0" w:space="0" w:color="auto"/>
      </w:divBdr>
    </w:div>
    <w:div w:id="680088959">
      <w:bodyDiv w:val="1"/>
      <w:marLeft w:val="0"/>
      <w:marRight w:val="0"/>
      <w:marTop w:val="0"/>
      <w:marBottom w:val="0"/>
      <w:divBdr>
        <w:top w:val="none" w:sz="0" w:space="0" w:color="auto"/>
        <w:left w:val="none" w:sz="0" w:space="0" w:color="auto"/>
        <w:bottom w:val="none" w:sz="0" w:space="0" w:color="auto"/>
        <w:right w:val="none" w:sz="0" w:space="0" w:color="auto"/>
      </w:divBdr>
    </w:div>
    <w:div w:id="694306570">
      <w:bodyDiv w:val="1"/>
      <w:marLeft w:val="0"/>
      <w:marRight w:val="0"/>
      <w:marTop w:val="0"/>
      <w:marBottom w:val="0"/>
      <w:divBdr>
        <w:top w:val="none" w:sz="0" w:space="0" w:color="auto"/>
        <w:left w:val="none" w:sz="0" w:space="0" w:color="auto"/>
        <w:bottom w:val="none" w:sz="0" w:space="0" w:color="auto"/>
        <w:right w:val="none" w:sz="0" w:space="0" w:color="auto"/>
      </w:divBdr>
    </w:div>
    <w:div w:id="718821848">
      <w:bodyDiv w:val="1"/>
      <w:marLeft w:val="0"/>
      <w:marRight w:val="0"/>
      <w:marTop w:val="0"/>
      <w:marBottom w:val="0"/>
      <w:divBdr>
        <w:top w:val="none" w:sz="0" w:space="0" w:color="auto"/>
        <w:left w:val="none" w:sz="0" w:space="0" w:color="auto"/>
        <w:bottom w:val="none" w:sz="0" w:space="0" w:color="auto"/>
        <w:right w:val="none" w:sz="0" w:space="0" w:color="auto"/>
      </w:divBdr>
    </w:div>
    <w:div w:id="725956926">
      <w:bodyDiv w:val="1"/>
      <w:marLeft w:val="0"/>
      <w:marRight w:val="0"/>
      <w:marTop w:val="0"/>
      <w:marBottom w:val="0"/>
      <w:divBdr>
        <w:top w:val="none" w:sz="0" w:space="0" w:color="auto"/>
        <w:left w:val="none" w:sz="0" w:space="0" w:color="auto"/>
        <w:bottom w:val="none" w:sz="0" w:space="0" w:color="auto"/>
        <w:right w:val="none" w:sz="0" w:space="0" w:color="auto"/>
      </w:divBdr>
    </w:div>
    <w:div w:id="743452197">
      <w:bodyDiv w:val="1"/>
      <w:marLeft w:val="0"/>
      <w:marRight w:val="0"/>
      <w:marTop w:val="0"/>
      <w:marBottom w:val="0"/>
      <w:divBdr>
        <w:top w:val="none" w:sz="0" w:space="0" w:color="auto"/>
        <w:left w:val="none" w:sz="0" w:space="0" w:color="auto"/>
        <w:bottom w:val="none" w:sz="0" w:space="0" w:color="auto"/>
        <w:right w:val="none" w:sz="0" w:space="0" w:color="auto"/>
      </w:divBdr>
    </w:div>
    <w:div w:id="776875865">
      <w:bodyDiv w:val="1"/>
      <w:marLeft w:val="0"/>
      <w:marRight w:val="0"/>
      <w:marTop w:val="0"/>
      <w:marBottom w:val="0"/>
      <w:divBdr>
        <w:top w:val="none" w:sz="0" w:space="0" w:color="auto"/>
        <w:left w:val="none" w:sz="0" w:space="0" w:color="auto"/>
        <w:bottom w:val="none" w:sz="0" w:space="0" w:color="auto"/>
        <w:right w:val="none" w:sz="0" w:space="0" w:color="auto"/>
      </w:divBdr>
    </w:div>
    <w:div w:id="779450593">
      <w:bodyDiv w:val="1"/>
      <w:marLeft w:val="0"/>
      <w:marRight w:val="0"/>
      <w:marTop w:val="0"/>
      <w:marBottom w:val="0"/>
      <w:divBdr>
        <w:top w:val="none" w:sz="0" w:space="0" w:color="auto"/>
        <w:left w:val="none" w:sz="0" w:space="0" w:color="auto"/>
        <w:bottom w:val="none" w:sz="0" w:space="0" w:color="auto"/>
        <w:right w:val="none" w:sz="0" w:space="0" w:color="auto"/>
      </w:divBdr>
    </w:div>
    <w:div w:id="862477362">
      <w:bodyDiv w:val="1"/>
      <w:marLeft w:val="0"/>
      <w:marRight w:val="0"/>
      <w:marTop w:val="0"/>
      <w:marBottom w:val="0"/>
      <w:divBdr>
        <w:top w:val="none" w:sz="0" w:space="0" w:color="auto"/>
        <w:left w:val="none" w:sz="0" w:space="0" w:color="auto"/>
        <w:bottom w:val="none" w:sz="0" w:space="0" w:color="auto"/>
        <w:right w:val="none" w:sz="0" w:space="0" w:color="auto"/>
      </w:divBdr>
    </w:div>
    <w:div w:id="924919613">
      <w:bodyDiv w:val="1"/>
      <w:marLeft w:val="0"/>
      <w:marRight w:val="0"/>
      <w:marTop w:val="0"/>
      <w:marBottom w:val="0"/>
      <w:divBdr>
        <w:top w:val="none" w:sz="0" w:space="0" w:color="auto"/>
        <w:left w:val="none" w:sz="0" w:space="0" w:color="auto"/>
        <w:bottom w:val="none" w:sz="0" w:space="0" w:color="auto"/>
        <w:right w:val="none" w:sz="0" w:space="0" w:color="auto"/>
      </w:divBdr>
    </w:div>
    <w:div w:id="948007919">
      <w:bodyDiv w:val="1"/>
      <w:marLeft w:val="0"/>
      <w:marRight w:val="0"/>
      <w:marTop w:val="0"/>
      <w:marBottom w:val="0"/>
      <w:divBdr>
        <w:top w:val="none" w:sz="0" w:space="0" w:color="auto"/>
        <w:left w:val="none" w:sz="0" w:space="0" w:color="auto"/>
        <w:bottom w:val="none" w:sz="0" w:space="0" w:color="auto"/>
        <w:right w:val="none" w:sz="0" w:space="0" w:color="auto"/>
      </w:divBdr>
    </w:div>
    <w:div w:id="957488589">
      <w:bodyDiv w:val="1"/>
      <w:marLeft w:val="0"/>
      <w:marRight w:val="0"/>
      <w:marTop w:val="0"/>
      <w:marBottom w:val="0"/>
      <w:divBdr>
        <w:top w:val="none" w:sz="0" w:space="0" w:color="auto"/>
        <w:left w:val="none" w:sz="0" w:space="0" w:color="auto"/>
        <w:bottom w:val="none" w:sz="0" w:space="0" w:color="auto"/>
        <w:right w:val="none" w:sz="0" w:space="0" w:color="auto"/>
      </w:divBdr>
    </w:div>
    <w:div w:id="989943772">
      <w:bodyDiv w:val="1"/>
      <w:marLeft w:val="0"/>
      <w:marRight w:val="0"/>
      <w:marTop w:val="0"/>
      <w:marBottom w:val="0"/>
      <w:divBdr>
        <w:top w:val="none" w:sz="0" w:space="0" w:color="auto"/>
        <w:left w:val="none" w:sz="0" w:space="0" w:color="auto"/>
        <w:bottom w:val="none" w:sz="0" w:space="0" w:color="auto"/>
        <w:right w:val="none" w:sz="0" w:space="0" w:color="auto"/>
      </w:divBdr>
    </w:div>
    <w:div w:id="1030032080">
      <w:bodyDiv w:val="1"/>
      <w:marLeft w:val="0"/>
      <w:marRight w:val="0"/>
      <w:marTop w:val="0"/>
      <w:marBottom w:val="0"/>
      <w:divBdr>
        <w:top w:val="none" w:sz="0" w:space="0" w:color="auto"/>
        <w:left w:val="none" w:sz="0" w:space="0" w:color="auto"/>
        <w:bottom w:val="none" w:sz="0" w:space="0" w:color="auto"/>
        <w:right w:val="none" w:sz="0" w:space="0" w:color="auto"/>
      </w:divBdr>
    </w:div>
    <w:div w:id="1030566249">
      <w:bodyDiv w:val="1"/>
      <w:marLeft w:val="0"/>
      <w:marRight w:val="0"/>
      <w:marTop w:val="0"/>
      <w:marBottom w:val="0"/>
      <w:divBdr>
        <w:top w:val="none" w:sz="0" w:space="0" w:color="auto"/>
        <w:left w:val="none" w:sz="0" w:space="0" w:color="auto"/>
        <w:bottom w:val="none" w:sz="0" w:space="0" w:color="auto"/>
        <w:right w:val="none" w:sz="0" w:space="0" w:color="auto"/>
      </w:divBdr>
    </w:div>
    <w:div w:id="1083840275">
      <w:bodyDiv w:val="1"/>
      <w:marLeft w:val="0"/>
      <w:marRight w:val="0"/>
      <w:marTop w:val="0"/>
      <w:marBottom w:val="0"/>
      <w:divBdr>
        <w:top w:val="none" w:sz="0" w:space="0" w:color="auto"/>
        <w:left w:val="none" w:sz="0" w:space="0" w:color="auto"/>
        <w:bottom w:val="none" w:sz="0" w:space="0" w:color="auto"/>
        <w:right w:val="none" w:sz="0" w:space="0" w:color="auto"/>
      </w:divBdr>
    </w:div>
    <w:div w:id="1097750324">
      <w:bodyDiv w:val="1"/>
      <w:marLeft w:val="0"/>
      <w:marRight w:val="0"/>
      <w:marTop w:val="0"/>
      <w:marBottom w:val="0"/>
      <w:divBdr>
        <w:top w:val="none" w:sz="0" w:space="0" w:color="auto"/>
        <w:left w:val="none" w:sz="0" w:space="0" w:color="auto"/>
        <w:bottom w:val="none" w:sz="0" w:space="0" w:color="auto"/>
        <w:right w:val="none" w:sz="0" w:space="0" w:color="auto"/>
      </w:divBdr>
    </w:div>
    <w:div w:id="1109740480">
      <w:bodyDiv w:val="1"/>
      <w:marLeft w:val="0"/>
      <w:marRight w:val="0"/>
      <w:marTop w:val="0"/>
      <w:marBottom w:val="0"/>
      <w:divBdr>
        <w:top w:val="none" w:sz="0" w:space="0" w:color="auto"/>
        <w:left w:val="none" w:sz="0" w:space="0" w:color="auto"/>
        <w:bottom w:val="none" w:sz="0" w:space="0" w:color="auto"/>
        <w:right w:val="none" w:sz="0" w:space="0" w:color="auto"/>
      </w:divBdr>
    </w:div>
    <w:div w:id="1117913991">
      <w:bodyDiv w:val="1"/>
      <w:marLeft w:val="0"/>
      <w:marRight w:val="0"/>
      <w:marTop w:val="0"/>
      <w:marBottom w:val="0"/>
      <w:divBdr>
        <w:top w:val="none" w:sz="0" w:space="0" w:color="auto"/>
        <w:left w:val="none" w:sz="0" w:space="0" w:color="auto"/>
        <w:bottom w:val="none" w:sz="0" w:space="0" w:color="auto"/>
        <w:right w:val="none" w:sz="0" w:space="0" w:color="auto"/>
      </w:divBdr>
    </w:div>
    <w:div w:id="1137649784">
      <w:bodyDiv w:val="1"/>
      <w:marLeft w:val="0"/>
      <w:marRight w:val="0"/>
      <w:marTop w:val="0"/>
      <w:marBottom w:val="0"/>
      <w:divBdr>
        <w:top w:val="none" w:sz="0" w:space="0" w:color="auto"/>
        <w:left w:val="none" w:sz="0" w:space="0" w:color="auto"/>
        <w:bottom w:val="none" w:sz="0" w:space="0" w:color="auto"/>
        <w:right w:val="none" w:sz="0" w:space="0" w:color="auto"/>
      </w:divBdr>
    </w:div>
    <w:div w:id="1154100491">
      <w:bodyDiv w:val="1"/>
      <w:marLeft w:val="0"/>
      <w:marRight w:val="0"/>
      <w:marTop w:val="0"/>
      <w:marBottom w:val="0"/>
      <w:divBdr>
        <w:top w:val="none" w:sz="0" w:space="0" w:color="auto"/>
        <w:left w:val="none" w:sz="0" w:space="0" w:color="auto"/>
        <w:bottom w:val="none" w:sz="0" w:space="0" w:color="auto"/>
        <w:right w:val="none" w:sz="0" w:space="0" w:color="auto"/>
      </w:divBdr>
    </w:div>
    <w:div w:id="1160999429">
      <w:bodyDiv w:val="1"/>
      <w:marLeft w:val="0"/>
      <w:marRight w:val="0"/>
      <w:marTop w:val="0"/>
      <w:marBottom w:val="0"/>
      <w:divBdr>
        <w:top w:val="none" w:sz="0" w:space="0" w:color="auto"/>
        <w:left w:val="none" w:sz="0" w:space="0" w:color="auto"/>
        <w:bottom w:val="none" w:sz="0" w:space="0" w:color="auto"/>
        <w:right w:val="none" w:sz="0" w:space="0" w:color="auto"/>
      </w:divBdr>
    </w:div>
    <w:div w:id="1217156371">
      <w:bodyDiv w:val="1"/>
      <w:marLeft w:val="0"/>
      <w:marRight w:val="0"/>
      <w:marTop w:val="0"/>
      <w:marBottom w:val="0"/>
      <w:divBdr>
        <w:top w:val="none" w:sz="0" w:space="0" w:color="auto"/>
        <w:left w:val="none" w:sz="0" w:space="0" w:color="auto"/>
        <w:bottom w:val="none" w:sz="0" w:space="0" w:color="auto"/>
        <w:right w:val="none" w:sz="0" w:space="0" w:color="auto"/>
      </w:divBdr>
    </w:div>
    <w:div w:id="1251155156">
      <w:bodyDiv w:val="1"/>
      <w:marLeft w:val="0"/>
      <w:marRight w:val="0"/>
      <w:marTop w:val="0"/>
      <w:marBottom w:val="0"/>
      <w:divBdr>
        <w:top w:val="none" w:sz="0" w:space="0" w:color="auto"/>
        <w:left w:val="none" w:sz="0" w:space="0" w:color="auto"/>
        <w:bottom w:val="none" w:sz="0" w:space="0" w:color="auto"/>
        <w:right w:val="none" w:sz="0" w:space="0" w:color="auto"/>
      </w:divBdr>
    </w:div>
    <w:div w:id="1317954812">
      <w:bodyDiv w:val="1"/>
      <w:marLeft w:val="0"/>
      <w:marRight w:val="0"/>
      <w:marTop w:val="0"/>
      <w:marBottom w:val="0"/>
      <w:divBdr>
        <w:top w:val="none" w:sz="0" w:space="0" w:color="auto"/>
        <w:left w:val="none" w:sz="0" w:space="0" w:color="auto"/>
        <w:bottom w:val="none" w:sz="0" w:space="0" w:color="auto"/>
        <w:right w:val="none" w:sz="0" w:space="0" w:color="auto"/>
      </w:divBdr>
    </w:div>
    <w:div w:id="1403747773">
      <w:bodyDiv w:val="1"/>
      <w:marLeft w:val="0"/>
      <w:marRight w:val="0"/>
      <w:marTop w:val="0"/>
      <w:marBottom w:val="0"/>
      <w:divBdr>
        <w:top w:val="none" w:sz="0" w:space="0" w:color="auto"/>
        <w:left w:val="none" w:sz="0" w:space="0" w:color="auto"/>
        <w:bottom w:val="none" w:sz="0" w:space="0" w:color="auto"/>
        <w:right w:val="none" w:sz="0" w:space="0" w:color="auto"/>
      </w:divBdr>
    </w:div>
    <w:div w:id="1463382101">
      <w:bodyDiv w:val="1"/>
      <w:marLeft w:val="0"/>
      <w:marRight w:val="0"/>
      <w:marTop w:val="0"/>
      <w:marBottom w:val="0"/>
      <w:divBdr>
        <w:top w:val="none" w:sz="0" w:space="0" w:color="auto"/>
        <w:left w:val="none" w:sz="0" w:space="0" w:color="auto"/>
        <w:bottom w:val="none" w:sz="0" w:space="0" w:color="auto"/>
        <w:right w:val="none" w:sz="0" w:space="0" w:color="auto"/>
      </w:divBdr>
    </w:div>
    <w:div w:id="1501382451">
      <w:bodyDiv w:val="1"/>
      <w:marLeft w:val="0"/>
      <w:marRight w:val="0"/>
      <w:marTop w:val="0"/>
      <w:marBottom w:val="0"/>
      <w:divBdr>
        <w:top w:val="none" w:sz="0" w:space="0" w:color="auto"/>
        <w:left w:val="none" w:sz="0" w:space="0" w:color="auto"/>
        <w:bottom w:val="none" w:sz="0" w:space="0" w:color="auto"/>
        <w:right w:val="none" w:sz="0" w:space="0" w:color="auto"/>
      </w:divBdr>
    </w:div>
    <w:div w:id="1510679011">
      <w:bodyDiv w:val="1"/>
      <w:marLeft w:val="0"/>
      <w:marRight w:val="0"/>
      <w:marTop w:val="0"/>
      <w:marBottom w:val="0"/>
      <w:divBdr>
        <w:top w:val="none" w:sz="0" w:space="0" w:color="auto"/>
        <w:left w:val="none" w:sz="0" w:space="0" w:color="auto"/>
        <w:bottom w:val="none" w:sz="0" w:space="0" w:color="auto"/>
        <w:right w:val="none" w:sz="0" w:space="0" w:color="auto"/>
      </w:divBdr>
    </w:div>
    <w:div w:id="1541279105">
      <w:bodyDiv w:val="1"/>
      <w:marLeft w:val="0"/>
      <w:marRight w:val="0"/>
      <w:marTop w:val="0"/>
      <w:marBottom w:val="0"/>
      <w:divBdr>
        <w:top w:val="none" w:sz="0" w:space="0" w:color="auto"/>
        <w:left w:val="none" w:sz="0" w:space="0" w:color="auto"/>
        <w:bottom w:val="none" w:sz="0" w:space="0" w:color="auto"/>
        <w:right w:val="none" w:sz="0" w:space="0" w:color="auto"/>
      </w:divBdr>
    </w:div>
    <w:div w:id="1582371462">
      <w:bodyDiv w:val="1"/>
      <w:marLeft w:val="0"/>
      <w:marRight w:val="0"/>
      <w:marTop w:val="0"/>
      <w:marBottom w:val="0"/>
      <w:divBdr>
        <w:top w:val="none" w:sz="0" w:space="0" w:color="auto"/>
        <w:left w:val="none" w:sz="0" w:space="0" w:color="auto"/>
        <w:bottom w:val="none" w:sz="0" w:space="0" w:color="auto"/>
        <w:right w:val="none" w:sz="0" w:space="0" w:color="auto"/>
      </w:divBdr>
    </w:div>
    <w:div w:id="1590188277">
      <w:bodyDiv w:val="1"/>
      <w:marLeft w:val="0"/>
      <w:marRight w:val="0"/>
      <w:marTop w:val="0"/>
      <w:marBottom w:val="0"/>
      <w:divBdr>
        <w:top w:val="none" w:sz="0" w:space="0" w:color="auto"/>
        <w:left w:val="none" w:sz="0" w:space="0" w:color="auto"/>
        <w:bottom w:val="none" w:sz="0" w:space="0" w:color="auto"/>
        <w:right w:val="none" w:sz="0" w:space="0" w:color="auto"/>
      </w:divBdr>
    </w:div>
    <w:div w:id="1604075655">
      <w:bodyDiv w:val="1"/>
      <w:marLeft w:val="0"/>
      <w:marRight w:val="0"/>
      <w:marTop w:val="0"/>
      <w:marBottom w:val="0"/>
      <w:divBdr>
        <w:top w:val="none" w:sz="0" w:space="0" w:color="auto"/>
        <w:left w:val="none" w:sz="0" w:space="0" w:color="auto"/>
        <w:bottom w:val="none" w:sz="0" w:space="0" w:color="auto"/>
        <w:right w:val="none" w:sz="0" w:space="0" w:color="auto"/>
      </w:divBdr>
    </w:div>
    <w:div w:id="1627006361">
      <w:bodyDiv w:val="1"/>
      <w:marLeft w:val="0"/>
      <w:marRight w:val="0"/>
      <w:marTop w:val="0"/>
      <w:marBottom w:val="0"/>
      <w:divBdr>
        <w:top w:val="none" w:sz="0" w:space="0" w:color="auto"/>
        <w:left w:val="none" w:sz="0" w:space="0" w:color="auto"/>
        <w:bottom w:val="none" w:sz="0" w:space="0" w:color="auto"/>
        <w:right w:val="none" w:sz="0" w:space="0" w:color="auto"/>
      </w:divBdr>
    </w:div>
    <w:div w:id="1629093934">
      <w:bodyDiv w:val="1"/>
      <w:marLeft w:val="0"/>
      <w:marRight w:val="0"/>
      <w:marTop w:val="0"/>
      <w:marBottom w:val="0"/>
      <w:divBdr>
        <w:top w:val="none" w:sz="0" w:space="0" w:color="auto"/>
        <w:left w:val="none" w:sz="0" w:space="0" w:color="auto"/>
        <w:bottom w:val="none" w:sz="0" w:space="0" w:color="auto"/>
        <w:right w:val="none" w:sz="0" w:space="0" w:color="auto"/>
      </w:divBdr>
    </w:div>
    <w:div w:id="1654212892">
      <w:bodyDiv w:val="1"/>
      <w:marLeft w:val="0"/>
      <w:marRight w:val="0"/>
      <w:marTop w:val="0"/>
      <w:marBottom w:val="0"/>
      <w:divBdr>
        <w:top w:val="none" w:sz="0" w:space="0" w:color="auto"/>
        <w:left w:val="none" w:sz="0" w:space="0" w:color="auto"/>
        <w:bottom w:val="none" w:sz="0" w:space="0" w:color="auto"/>
        <w:right w:val="none" w:sz="0" w:space="0" w:color="auto"/>
      </w:divBdr>
    </w:div>
    <w:div w:id="1674380193">
      <w:bodyDiv w:val="1"/>
      <w:marLeft w:val="0"/>
      <w:marRight w:val="0"/>
      <w:marTop w:val="0"/>
      <w:marBottom w:val="0"/>
      <w:divBdr>
        <w:top w:val="none" w:sz="0" w:space="0" w:color="auto"/>
        <w:left w:val="none" w:sz="0" w:space="0" w:color="auto"/>
        <w:bottom w:val="none" w:sz="0" w:space="0" w:color="auto"/>
        <w:right w:val="none" w:sz="0" w:space="0" w:color="auto"/>
      </w:divBdr>
    </w:div>
    <w:div w:id="1726097886">
      <w:bodyDiv w:val="1"/>
      <w:marLeft w:val="0"/>
      <w:marRight w:val="0"/>
      <w:marTop w:val="0"/>
      <w:marBottom w:val="0"/>
      <w:divBdr>
        <w:top w:val="none" w:sz="0" w:space="0" w:color="auto"/>
        <w:left w:val="none" w:sz="0" w:space="0" w:color="auto"/>
        <w:bottom w:val="none" w:sz="0" w:space="0" w:color="auto"/>
        <w:right w:val="none" w:sz="0" w:space="0" w:color="auto"/>
      </w:divBdr>
    </w:div>
    <w:div w:id="1747804225">
      <w:bodyDiv w:val="1"/>
      <w:marLeft w:val="0"/>
      <w:marRight w:val="0"/>
      <w:marTop w:val="0"/>
      <w:marBottom w:val="0"/>
      <w:divBdr>
        <w:top w:val="none" w:sz="0" w:space="0" w:color="auto"/>
        <w:left w:val="none" w:sz="0" w:space="0" w:color="auto"/>
        <w:bottom w:val="none" w:sz="0" w:space="0" w:color="auto"/>
        <w:right w:val="none" w:sz="0" w:space="0" w:color="auto"/>
      </w:divBdr>
    </w:div>
    <w:div w:id="1846048452">
      <w:bodyDiv w:val="1"/>
      <w:marLeft w:val="0"/>
      <w:marRight w:val="0"/>
      <w:marTop w:val="0"/>
      <w:marBottom w:val="0"/>
      <w:divBdr>
        <w:top w:val="none" w:sz="0" w:space="0" w:color="auto"/>
        <w:left w:val="none" w:sz="0" w:space="0" w:color="auto"/>
        <w:bottom w:val="none" w:sz="0" w:space="0" w:color="auto"/>
        <w:right w:val="none" w:sz="0" w:space="0" w:color="auto"/>
      </w:divBdr>
    </w:div>
    <w:div w:id="1896114804">
      <w:bodyDiv w:val="1"/>
      <w:marLeft w:val="0"/>
      <w:marRight w:val="0"/>
      <w:marTop w:val="0"/>
      <w:marBottom w:val="0"/>
      <w:divBdr>
        <w:top w:val="none" w:sz="0" w:space="0" w:color="auto"/>
        <w:left w:val="none" w:sz="0" w:space="0" w:color="auto"/>
        <w:bottom w:val="none" w:sz="0" w:space="0" w:color="auto"/>
        <w:right w:val="none" w:sz="0" w:space="0" w:color="auto"/>
      </w:divBdr>
    </w:div>
    <w:div w:id="1936480293">
      <w:bodyDiv w:val="1"/>
      <w:marLeft w:val="0"/>
      <w:marRight w:val="0"/>
      <w:marTop w:val="0"/>
      <w:marBottom w:val="0"/>
      <w:divBdr>
        <w:top w:val="none" w:sz="0" w:space="0" w:color="auto"/>
        <w:left w:val="none" w:sz="0" w:space="0" w:color="auto"/>
        <w:bottom w:val="none" w:sz="0" w:space="0" w:color="auto"/>
        <w:right w:val="none" w:sz="0" w:space="0" w:color="auto"/>
      </w:divBdr>
    </w:div>
    <w:div w:id="1950238781">
      <w:bodyDiv w:val="1"/>
      <w:marLeft w:val="0"/>
      <w:marRight w:val="0"/>
      <w:marTop w:val="0"/>
      <w:marBottom w:val="0"/>
      <w:divBdr>
        <w:top w:val="none" w:sz="0" w:space="0" w:color="auto"/>
        <w:left w:val="none" w:sz="0" w:space="0" w:color="auto"/>
        <w:bottom w:val="none" w:sz="0" w:space="0" w:color="auto"/>
        <w:right w:val="none" w:sz="0" w:space="0" w:color="auto"/>
      </w:divBdr>
    </w:div>
    <w:div w:id="1953243552">
      <w:bodyDiv w:val="1"/>
      <w:marLeft w:val="0"/>
      <w:marRight w:val="0"/>
      <w:marTop w:val="0"/>
      <w:marBottom w:val="0"/>
      <w:divBdr>
        <w:top w:val="none" w:sz="0" w:space="0" w:color="auto"/>
        <w:left w:val="none" w:sz="0" w:space="0" w:color="auto"/>
        <w:bottom w:val="none" w:sz="0" w:space="0" w:color="auto"/>
        <w:right w:val="none" w:sz="0" w:space="0" w:color="auto"/>
      </w:divBdr>
    </w:div>
    <w:div w:id="1973751990">
      <w:bodyDiv w:val="1"/>
      <w:marLeft w:val="0"/>
      <w:marRight w:val="0"/>
      <w:marTop w:val="0"/>
      <w:marBottom w:val="0"/>
      <w:divBdr>
        <w:top w:val="none" w:sz="0" w:space="0" w:color="auto"/>
        <w:left w:val="none" w:sz="0" w:space="0" w:color="auto"/>
        <w:bottom w:val="none" w:sz="0" w:space="0" w:color="auto"/>
        <w:right w:val="none" w:sz="0" w:space="0" w:color="auto"/>
      </w:divBdr>
    </w:div>
    <w:div w:id="1991253209">
      <w:bodyDiv w:val="1"/>
      <w:marLeft w:val="0"/>
      <w:marRight w:val="0"/>
      <w:marTop w:val="0"/>
      <w:marBottom w:val="0"/>
      <w:divBdr>
        <w:top w:val="none" w:sz="0" w:space="0" w:color="auto"/>
        <w:left w:val="none" w:sz="0" w:space="0" w:color="auto"/>
        <w:bottom w:val="none" w:sz="0" w:space="0" w:color="auto"/>
        <w:right w:val="none" w:sz="0" w:space="0" w:color="auto"/>
      </w:divBdr>
    </w:div>
    <w:div w:id="1992561917">
      <w:bodyDiv w:val="1"/>
      <w:marLeft w:val="0"/>
      <w:marRight w:val="0"/>
      <w:marTop w:val="0"/>
      <w:marBottom w:val="0"/>
      <w:divBdr>
        <w:top w:val="none" w:sz="0" w:space="0" w:color="auto"/>
        <w:left w:val="none" w:sz="0" w:space="0" w:color="auto"/>
        <w:bottom w:val="none" w:sz="0" w:space="0" w:color="auto"/>
        <w:right w:val="none" w:sz="0" w:space="0" w:color="auto"/>
      </w:divBdr>
    </w:div>
    <w:div w:id="2052267559">
      <w:bodyDiv w:val="1"/>
      <w:marLeft w:val="0"/>
      <w:marRight w:val="0"/>
      <w:marTop w:val="0"/>
      <w:marBottom w:val="0"/>
      <w:divBdr>
        <w:top w:val="none" w:sz="0" w:space="0" w:color="auto"/>
        <w:left w:val="none" w:sz="0" w:space="0" w:color="auto"/>
        <w:bottom w:val="none" w:sz="0" w:space="0" w:color="auto"/>
        <w:right w:val="none" w:sz="0" w:space="0" w:color="auto"/>
      </w:divBdr>
    </w:div>
    <w:div w:id="2067993578">
      <w:bodyDiv w:val="1"/>
      <w:marLeft w:val="0"/>
      <w:marRight w:val="0"/>
      <w:marTop w:val="0"/>
      <w:marBottom w:val="0"/>
      <w:divBdr>
        <w:top w:val="none" w:sz="0" w:space="0" w:color="auto"/>
        <w:left w:val="none" w:sz="0" w:space="0" w:color="auto"/>
        <w:bottom w:val="none" w:sz="0" w:space="0" w:color="auto"/>
        <w:right w:val="none" w:sz="0" w:space="0" w:color="auto"/>
      </w:divBdr>
    </w:div>
    <w:div w:id="2101488243">
      <w:bodyDiv w:val="1"/>
      <w:marLeft w:val="0"/>
      <w:marRight w:val="0"/>
      <w:marTop w:val="0"/>
      <w:marBottom w:val="0"/>
      <w:divBdr>
        <w:top w:val="none" w:sz="0" w:space="0" w:color="auto"/>
        <w:left w:val="none" w:sz="0" w:space="0" w:color="auto"/>
        <w:bottom w:val="none" w:sz="0" w:space="0" w:color="auto"/>
        <w:right w:val="none" w:sz="0" w:space="0" w:color="auto"/>
      </w:divBdr>
    </w:div>
    <w:div w:id="2109232703">
      <w:bodyDiv w:val="1"/>
      <w:marLeft w:val="0"/>
      <w:marRight w:val="0"/>
      <w:marTop w:val="0"/>
      <w:marBottom w:val="0"/>
      <w:divBdr>
        <w:top w:val="none" w:sz="0" w:space="0" w:color="auto"/>
        <w:left w:val="none" w:sz="0" w:space="0" w:color="auto"/>
        <w:bottom w:val="none" w:sz="0" w:space="0" w:color="auto"/>
        <w:right w:val="none" w:sz="0" w:space="0" w:color="auto"/>
      </w:divBdr>
    </w:div>
    <w:div w:id="21139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hyperlink" Target="http://www.efcf.com/reports/E23.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tunzi\research\Saip%202012\JPCSA4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mtunzi\research\Saip%202012\Book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Documents%20and%20Settings\bmtunzi\research\MY%20THESIS\Performance%20ratio%20for%20months%20of%20sept%20to%20Jan%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Documents%20and%20Settings\bmtunzi\research\MY%20THESIS\Performance%20ratio%20for%20months%20of%20sept%20to%20Jan%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Documents%20and%20Settings\bmtunzi\research\MY%20THESIS\monthly%20averages%20from%20Sept%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856139651430979"/>
          <c:y val="0.0291476341700381"/>
          <c:w val="0.817435270624483"/>
          <c:h val="0.85237525557924"/>
        </c:manualLayout>
      </c:layout>
      <c:lineChart>
        <c:grouping val="standard"/>
        <c:varyColors val="0"/>
        <c:ser>
          <c:idx val="1"/>
          <c:order val="0"/>
          <c:tx>
            <c:strRef>
              <c:f>Sheet3!$C$1</c:f>
              <c:strCache>
                <c:ptCount val="1"/>
                <c:pt idx="0">
                  <c:v>TM1(°C)</c:v>
                </c:pt>
              </c:strCache>
            </c:strRef>
          </c:tx>
          <c:spPr>
            <a:ln w="19050">
              <a:solidFill>
                <a:srgbClr val="0000FF"/>
              </a:solidFill>
            </a:ln>
          </c:spPr>
          <c:marker>
            <c:symbol val="triangle"/>
            <c:size val="4"/>
            <c:spPr>
              <a:solidFill>
                <a:schemeClr val="bg1"/>
              </a:solidFill>
              <a:ln w="12700">
                <a:solidFill>
                  <a:srgbClr val="0000FF"/>
                </a:solidFill>
              </a:ln>
            </c:spPr>
          </c:marker>
          <c:cat>
            <c:strRef>
              <c:f>Sheet3!$A$2:$A$6</c:f>
              <c:strCache>
                <c:ptCount val="5"/>
                <c:pt idx="0">
                  <c:v>September</c:v>
                </c:pt>
                <c:pt idx="1">
                  <c:v>October</c:v>
                </c:pt>
                <c:pt idx="2">
                  <c:v>November</c:v>
                </c:pt>
                <c:pt idx="3">
                  <c:v>December</c:v>
                </c:pt>
                <c:pt idx="4">
                  <c:v>January</c:v>
                </c:pt>
              </c:strCache>
            </c:strRef>
          </c:cat>
          <c:val>
            <c:numRef>
              <c:f>Sheet3!$C$2:$C$6</c:f>
              <c:numCache>
                <c:formatCode>General</c:formatCode>
                <c:ptCount val="5"/>
                <c:pt idx="0">
                  <c:v>30.19</c:v>
                </c:pt>
                <c:pt idx="1">
                  <c:v>30.44</c:v>
                </c:pt>
                <c:pt idx="2">
                  <c:v>28.61</c:v>
                </c:pt>
                <c:pt idx="3">
                  <c:v>24.16</c:v>
                </c:pt>
                <c:pt idx="4">
                  <c:v>31.84</c:v>
                </c:pt>
              </c:numCache>
            </c:numRef>
          </c:val>
          <c:smooth val="0"/>
        </c:ser>
        <c:ser>
          <c:idx val="2"/>
          <c:order val="1"/>
          <c:tx>
            <c:strRef>
              <c:f>Sheet3!$D$1</c:f>
              <c:strCache>
                <c:ptCount val="1"/>
                <c:pt idx="0">
                  <c:v>ηM1(%)</c:v>
                </c:pt>
              </c:strCache>
            </c:strRef>
          </c:tx>
          <c:spPr>
            <a:ln w="22225">
              <a:solidFill>
                <a:srgbClr val="0000FF"/>
              </a:solidFill>
              <a:prstDash val="sysDash"/>
            </a:ln>
          </c:spPr>
          <c:marker>
            <c:symbol val="triangle"/>
            <c:size val="4"/>
            <c:spPr>
              <a:solidFill>
                <a:srgbClr val="0000FF"/>
              </a:solidFill>
              <a:ln w="19050">
                <a:solidFill>
                  <a:srgbClr val="0000FF"/>
                </a:solidFill>
              </a:ln>
            </c:spPr>
          </c:marker>
          <c:cat>
            <c:strRef>
              <c:f>Sheet3!$A$2:$A$6</c:f>
              <c:strCache>
                <c:ptCount val="5"/>
                <c:pt idx="0">
                  <c:v>September</c:v>
                </c:pt>
                <c:pt idx="1">
                  <c:v>October</c:v>
                </c:pt>
                <c:pt idx="2">
                  <c:v>November</c:v>
                </c:pt>
                <c:pt idx="3">
                  <c:v>December</c:v>
                </c:pt>
                <c:pt idx="4">
                  <c:v>January</c:v>
                </c:pt>
              </c:strCache>
            </c:strRef>
          </c:cat>
          <c:val>
            <c:numRef>
              <c:f>Sheet3!$D$2:$D$6</c:f>
              <c:numCache>
                <c:formatCode>General</c:formatCode>
                <c:ptCount val="5"/>
                <c:pt idx="0">
                  <c:v>9.47</c:v>
                </c:pt>
                <c:pt idx="1">
                  <c:v>7.34</c:v>
                </c:pt>
                <c:pt idx="2">
                  <c:v>9.42</c:v>
                </c:pt>
                <c:pt idx="3">
                  <c:v>8.290000000000001</c:v>
                </c:pt>
                <c:pt idx="4">
                  <c:v>8.91</c:v>
                </c:pt>
              </c:numCache>
            </c:numRef>
          </c:val>
          <c:smooth val="0"/>
        </c:ser>
        <c:ser>
          <c:idx val="3"/>
          <c:order val="2"/>
          <c:tx>
            <c:strRef>
              <c:f>Sheet3!$E$1</c:f>
              <c:strCache>
                <c:ptCount val="1"/>
                <c:pt idx="0">
                  <c:v>TM2(°C)</c:v>
                </c:pt>
              </c:strCache>
            </c:strRef>
          </c:tx>
          <c:spPr>
            <a:ln w="19050">
              <a:solidFill>
                <a:srgbClr val="FF0000"/>
              </a:solidFill>
            </a:ln>
          </c:spPr>
          <c:marker>
            <c:symbol val="square"/>
            <c:size val="4"/>
            <c:spPr>
              <a:solidFill>
                <a:schemeClr val="bg1"/>
              </a:solidFill>
              <a:ln w="19050" cap="rnd">
                <a:solidFill>
                  <a:srgbClr val="FF0000"/>
                </a:solidFill>
                <a:bevel/>
              </a:ln>
            </c:spPr>
          </c:marker>
          <c:cat>
            <c:strRef>
              <c:f>Sheet3!$A$2:$A$6</c:f>
              <c:strCache>
                <c:ptCount val="5"/>
                <c:pt idx="0">
                  <c:v>September</c:v>
                </c:pt>
                <c:pt idx="1">
                  <c:v>October</c:v>
                </c:pt>
                <c:pt idx="2">
                  <c:v>November</c:v>
                </c:pt>
                <c:pt idx="3">
                  <c:v>December</c:v>
                </c:pt>
                <c:pt idx="4">
                  <c:v>January</c:v>
                </c:pt>
              </c:strCache>
            </c:strRef>
          </c:cat>
          <c:val>
            <c:numRef>
              <c:f>Sheet3!$E$2:$E$6</c:f>
              <c:numCache>
                <c:formatCode>General</c:formatCode>
                <c:ptCount val="5"/>
                <c:pt idx="0">
                  <c:v>22.7</c:v>
                </c:pt>
                <c:pt idx="1">
                  <c:v>23.82</c:v>
                </c:pt>
                <c:pt idx="2">
                  <c:v>24.08</c:v>
                </c:pt>
                <c:pt idx="3">
                  <c:v>27.17</c:v>
                </c:pt>
                <c:pt idx="4">
                  <c:v>32.0</c:v>
                </c:pt>
              </c:numCache>
            </c:numRef>
          </c:val>
          <c:smooth val="0"/>
        </c:ser>
        <c:ser>
          <c:idx val="4"/>
          <c:order val="3"/>
          <c:tx>
            <c:strRef>
              <c:f>Sheet3!$F$1</c:f>
              <c:strCache>
                <c:ptCount val="1"/>
                <c:pt idx="0">
                  <c:v>ηM2(%)</c:v>
                </c:pt>
              </c:strCache>
            </c:strRef>
          </c:tx>
          <c:spPr>
            <a:ln w="19050">
              <a:solidFill>
                <a:srgbClr val="FF0000"/>
              </a:solidFill>
              <a:prstDash val="sysDash"/>
            </a:ln>
          </c:spPr>
          <c:marker>
            <c:symbol val="star"/>
            <c:size val="4"/>
            <c:spPr>
              <a:solidFill>
                <a:srgbClr val="FF0000"/>
              </a:solidFill>
              <a:ln w="19050" cap="rnd">
                <a:solidFill>
                  <a:srgbClr val="FF0000"/>
                </a:solidFill>
              </a:ln>
            </c:spPr>
          </c:marker>
          <c:cat>
            <c:strRef>
              <c:f>Sheet3!$A$2:$A$6</c:f>
              <c:strCache>
                <c:ptCount val="5"/>
                <c:pt idx="0">
                  <c:v>September</c:v>
                </c:pt>
                <c:pt idx="1">
                  <c:v>October</c:v>
                </c:pt>
                <c:pt idx="2">
                  <c:v>November</c:v>
                </c:pt>
                <c:pt idx="3">
                  <c:v>December</c:v>
                </c:pt>
                <c:pt idx="4">
                  <c:v>January</c:v>
                </c:pt>
              </c:strCache>
            </c:strRef>
          </c:cat>
          <c:val>
            <c:numRef>
              <c:f>Sheet3!$F$2:$F$6</c:f>
              <c:numCache>
                <c:formatCode>General</c:formatCode>
                <c:ptCount val="5"/>
                <c:pt idx="0">
                  <c:v>9.8</c:v>
                </c:pt>
                <c:pt idx="1">
                  <c:v>9.83</c:v>
                </c:pt>
                <c:pt idx="2">
                  <c:v>9.33</c:v>
                </c:pt>
                <c:pt idx="3">
                  <c:v>8.23</c:v>
                </c:pt>
                <c:pt idx="4">
                  <c:v>8.0</c:v>
                </c:pt>
              </c:numCache>
            </c:numRef>
          </c:val>
          <c:smooth val="0"/>
        </c:ser>
        <c:dLbls>
          <c:showLegendKey val="0"/>
          <c:showVal val="0"/>
          <c:showCatName val="0"/>
          <c:showSerName val="0"/>
          <c:showPercent val="0"/>
          <c:showBubbleSize val="0"/>
        </c:dLbls>
        <c:marker val="1"/>
        <c:smooth val="0"/>
        <c:axId val="2087033592"/>
        <c:axId val="2087037848"/>
      </c:lineChart>
      <c:lineChart>
        <c:grouping val="standard"/>
        <c:varyColors val="0"/>
        <c:ser>
          <c:idx val="5"/>
          <c:order val="4"/>
          <c:tx>
            <c:strRef>
              <c:f>Sheet3!$G$1</c:f>
              <c:strCache>
                <c:ptCount val="1"/>
                <c:pt idx="0">
                  <c:v>Irrad(W/m2)</c:v>
                </c:pt>
              </c:strCache>
            </c:strRef>
          </c:tx>
          <c:spPr>
            <a:ln w="19050">
              <a:solidFill>
                <a:srgbClr val="008000"/>
              </a:solidFill>
            </a:ln>
          </c:spPr>
          <c:marker>
            <c:symbol val="circle"/>
            <c:size val="4"/>
            <c:spPr>
              <a:solidFill>
                <a:schemeClr val="bg1"/>
              </a:solidFill>
              <a:ln w="19050">
                <a:solidFill>
                  <a:srgbClr val="008000"/>
                </a:solidFill>
              </a:ln>
            </c:spPr>
          </c:marker>
          <c:cat>
            <c:strRef>
              <c:f>Sheet3!$A$2:$A$6</c:f>
              <c:strCache>
                <c:ptCount val="5"/>
                <c:pt idx="0">
                  <c:v>September</c:v>
                </c:pt>
                <c:pt idx="1">
                  <c:v>October</c:v>
                </c:pt>
                <c:pt idx="2">
                  <c:v>November</c:v>
                </c:pt>
                <c:pt idx="3">
                  <c:v>December</c:v>
                </c:pt>
                <c:pt idx="4">
                  <c:v>January</c:v>
                </c:pt>
              </c:strCache>
            </c:strRef>
          </c:cat>
          <c:val>
            <c:numRef>
              <c:f>Sheet3!$G$2:$G$6</c:f>
              <c:numCache>
                <c:formatCode>General</c:formatCode>
                <c:ptCount val="5"/>
                <c:pt idx="0">
                  <c:v>548.6</c:v>
                </c:pt>
                <c:pt idx="1">
                  <c:v>441.13</c:v>
                </c:pt>
                <c:pt idx="2">
                  <c:v>418.83</c:v>
                </c:pt>
                <c:pt idx="3">
                  <c:v>380.3</c:v>
                </c:pt>
                <c:pt idx="4">
                  <c:v>456.41</c:v>
                </c:pt>
              </c:numCache>
            </c:numRef>
          </c:val>
          <c:smooth val="0"/>
        </c:ser>
        <c:dLbls>
          <c:showLegendKey val="0"/>
          <c:showVal val="0"/>
          <c:showCatName val="0"/>
          <c:showSerName val="0"/>
          <c:showPercent val="0"/>
          <c:showBubbleSize val="0"/>
        </c:dLbls>
        <c:marker val="1"/>
        <c:smooth val="0"/>
        <c:axId val="2087050184"/>
        <c:axId val="2087044744"/>
      </c:lineChart>
      <c:catAx>
        <c:axId val="2087033592"/>
        <c:scaling>
          <c:orientation val="minMax"/>
        </c:scaling>
        <c:delete val="0"/>
        <c:axPos val="b"/>
        <c:majorTickMark val="out"/>
        <c:minorTickMark val="none"/>
        <c:tickLblPos val="nextTo"/>
        <c:spPr>
          <a:ln w="12700">
            <a:solidFill>
              <a:schemeClr val="tx1"/>
            </a:solidFill>
          </a:ln>
        </c:spPr>
        <c:txPr>
          <a:bodyPr/>
          <a:lstStyle/>
          <a:p>
            <a:pPr>
              <a:defRPr b="1"/>
            </a:pPr>
            <a:endParaRPr lang="en-US"/>
          </a:p>
        </c:txPr>
        <c:crossAx val="2087037848"/>
        <c:crosses val="autoZero"/>
        <c:auto val="1"/>
        <c:lblAlgn val="ctr"/>
        <c:lblOffset val="100"/>
        <c:noMultiLvlLbl val="0"/>
      </c:catAx>
      <c:valAx>
        <c:axId val="2087037848"/>
        <c:scaling>
          <c:orientation val="minMax"/>
          <c:max val="60.0"/>
        </c:scaling>
        <c:delete val="0"/>
        <c:axPos val="l"/>
        <c:title>
          <c:tx>
            <c:rich>
              <a:bodyPr rot="-5400000" vert="horz"/>
              <a:lstStyle/>
              <a:p>
                <a:pPr>
                  <a:defRPr/>
                </a:pPr>
                <a:r>
                  <a:rPr lang="en-US"/>
                  <a:t>Temperature (°C), </a:t>
                </a:r>
                <a:r>
                  <a:rPr lang="en-US">
                    <a:latin typeface="Symbol" charset="2"/>
                    <a:cs typeface="Symbol" charset="2"/>
                  </a:rPr>
                  <a:t>h</a:t>
                </a:r>
                <a:r>
                  <a:rPr lang="en-US"/>
                  <a:t> (%)</a:t>
                </a:r>
              </a:p>
            </c:rich>
          </c:tx>
          <c:layout>
            <c:manualLayout>
              <c:xMode val="edge"/>
              <c:yMode val="edge"/>
              <c:x val="0.00670603674540682"/>
              <c:y val="0.160134514435696"/>
            </c:manualLayout>
          </c:layout>
          <c:overlay val="0"/>
        </c:title>
        <c:numFmt formatCode="General" sourceLinked="1"/>
        <c:majorTickMark val="out"/>
        <c:minorTickMark val="none"/>
        <c:tickLblPos val="nextTo"/>
        <c:spPr>
          <a:ln w="12700">
            <a:solidFill>
              <a:schemeClr val="tx1"/>
            </a:solidFill>
          </a:ln>
        </c:spPr>
        <c:crossAx val="2087033592"/>
        <c:crosses val="autoZero"/>
        <c:crossBetween val="between"/>
      </c:valAx>
      <c:valAx>
        <c:axId val="2087044744"/>
        <c:scaling>
          <c:orientation val="minMax"/>
          <c:max val="700.0"/>
        </c:scaling>
        <c:delete val="0"/>
        <c:axPos val="r"/>
        <c:title>
          <c:tx>
            <c:rich>
              <a:bodyPr rot="-5400000" vert="horz"/>
              <a:lstStyle/>
              <a:p>
                <a:pPr>
                  <a:defRPr/>
                </a:pPr>
                <a:r>
                  <a:rPr lang="en-US"/>
                  <a:t>Irradiance (W/m</a:t>
                </a:r>
                <a:r>
                  <a:rPr lang="en-US" baseline="30000"/>
                  <a:t>2</a:t>
                </a:r>
                <a:r>
                  <a:rPr lang="en-US"/>
                  <a:t>)</a:t>
                </a:r>
              </a:p>
            </c:rich>
          </c:tx>
          <c:layout>
            <c:manualLayout>
              <c:xMode val="edge"/>
              <c:yMode val="edge"/>
              <c:x val="0.95738271464127"/>
              <c:y val="0.220295891880918"/>
            </c:manualLayout>
          </c:layout>
          <c:overlay val="0"/>
        </c:title>
        <c:numFmt formatCode="General" sourceLinked="1"/>
        <c:majorTickMark val="out"/>
        <c:minorTickMark val="none"/>
        <c:tickLblPos val="nextTo"/>
        <c:spPr>
          <a:ln w="12700">
            <a:solidFill>
              <a:schemeClr val="tx1"/>
            </a:solidFill>
          </a:ln>
        </c:spPr>
        <c:crossAx val="2087050184"/>
        <c:crosses val="max"/>
        <c:crossBetween val="between"/>
      </c:valAx>
      <c:catAx>
        <c:axId val="2087050184"/>
        <c:scaling>
          <c:orientation val="minMax"/>
        </c:scaling>
        <c:delete val="1"/>
        <c:axPos val="b"/>
        <c:majorTickMark val="out"/>
        <c:minorTickMark val="none"/>
        <c:tickLblPos val="nextTo"/>
        <c:crossAx val="2087044744"/>
        <c:crosses val="autoZero"/>
        <c:auto val="1"/>
        <c:lblAlgn val="ctr"/>
        <c:lblOffset val="100"/>
        <c:noMultiLvlLbl val="0"/>
      </c:catAx>
      <c:spPr>
        <a:ln w="12700">
          <a:solidFill>
            <a:schemeClr val="tx1"/>
          </a:solidFill>
        </a:ln>
      </c:spPr>
    </c:plotArea>
    <c:legend>
      <c:legendPos val="r"/>
      <c:layout>
        <c:manualLayout>
          <c:xMode val="edge"/>
          <c:yMode val="edge"/>
          <c:x val="0.177153288883526"/>
          <c:y val="0.0495954235002393"/>
          <c:w val="0.711258009458595"/>
          <c:h val="0.0768887487130407"/>
        </c:manualLayout>
      </c:layout>
      <c:overlay val="0"/>
      <c:spPr>
        <a:ln>
          <a:solidFill>
            <a:schemeClr val="tx1"/>
          </a:solidFill>
        </a:ln>
        <a:effectLst>
          <a:outerShdw blurRad="50800" dist="38100" dir="2700000" algn="tl" rotWithShape="0">
            <a:srgbClr val="000000">
              <a:alpha val="43000"/>
            </a:srgbClr>
          </a:outerShdw>
        </a:effectLst>
      </c:spPr>
      <c:txPr>
        <a:bodyPr/>
        <a:lstStyle/>
        <a:p>
          <a:pPr>
            <a:defRPr sz="800"/>
          </a:pPr>
          <a:endParaRPr lang="en-US"/>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042200998639"/>
          <c:y val="0.0405779722766124"/>
          <c:w val="0.844046585431574"/>
          <c:h val="0.855085044549042"/>
        </c:manualLayout>
      </c:layout>
      <c:barChart>
        <c:barDir val="col"/>
        <c:grouping val="clustered"/>
        <c:varyColors val="0"/>
        <c:ser>
          <c:idx val="0"/>
          <c:order val="0"/>
          <c:tx>
            <c:strRef>
              <c:f>Sheet1!$O$2:$O$3</c:f>
              <c:strCache>
                <c:ptCount val="1"/>
                <c:pt idx="0">
                  <c:v>PR M1</c:v>
                </c:pt>
              </c:strCache>
            </c:strRef>
          </c:tx>
          <c:spPr>
            <a:pattFill prst="wdDnDiag">
              <a:fgClr>
                <a:srgbClr val="0000FF"/>
              </a:fgClr>
              <a:bgClr>
                <a:prstClr val="white"/>
              </a:bgClr>
            </a:pattFill>
            <a:ln w="12700" cmpd="sng">
              <a:solidFill>
                <a:srgbClr val="0000FF"/>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cat>
            <c:strRef>
              <c:f>Sheet1!$A$4:$A$8</c:f>
              <c:strCache>
                <c:ptCount val="5"/>
                <c:pt idx="0">
                  <c:v>September</c:v>
                </c:pt>
                <c:pt idx="1">
                  <c:v>October</c:v>
                </c:pt>
                <c:pt idx="2">
                  <c:v>November</c:v>
                </c:pt>
                <c:pt idx="3">
                  <c:v>December</c:v>
                </c:pt>
                <c:pt idx="4">
                  <c:v>January</c:v>
                </c:pt>
              </c:strCache>
            </c:strRef>
          </c:cat>
          <c:val>
            <c:numRef>
              <c:f>Sheet1!$O$4:$O$8</c:f>
              <c:numCache>
                <c:formatCode>0.00</c:formatCode>
                <c:ptCount val="5"/>
                <c:pt idx="0">
                  <c:v>1.18091580207502</c:v>
                </c:pt>
                <c:pt idx="1">
                  <c:v>0.915303272146848</c:v>
                </c:pt>
                <c:pt idx="2">
                  <c:v>1.174680766161213</c:v>
                </c:pt>
                <c:pt idx="3">
                  <c:v>1.033768954509178</c:v>
                </c:pt>
                <c:pt idx="4">
                  <c:v>1.111083399840383</c:v>
                </c:pt>
              </c:numCache>
            </c:numRef>
          </c:val>
        </c:ser>
        <c:ser>
          <c:idx val="1"/>
          <c:order val="1"/>
          <c:tx>
            <c:strRef>
              <c:f>Sheet1!$R$2:$R$3</c:f>
              <c:strCache>
                <c:ptCount val="1"/>
                <c:pt idx="0">
                  <c:v>PR M2</c:v>
                </c:pt>
              </c:strCache>
            </c:strRef>
          </c:tx>
          <c:spPr>
            <a:pattFill prst="lgConfetti">
              <a:fgClr>
                <a:srgbClr val="FF0000"/>
              </a:fgClr>
              <a:bgClr>
                <a:sysClr val="window" lastClr="FFFFFF"/>
              </a:bgClr>
            </a:pattFill>
            <a:ln w="12700">
              <a:solidFill>
                <a:srgbClr val="FF0000"/>
              </a:solidFill>
            </a:ln>
          </c:spPr>
          <c:invertIfNegative val="0"/>
          <c:cat>
            <c:strRef>
              <c:f>Sheet1!$A$4:$A$8</c:f>
              <c:strCache>
                <c:ptCount val="5"/>
                <c:pt idx="0">
                  <c:v>September</c:v>
                </c:pt>
                <c:pt idx="1">
                  <c:v>October</c:v>
                </c:pt>
                <c:pt idx="2">
                  <c:v>November</c:v>
                </c:pt>
                <c:pt idx="3">
                  <c:v>December</c:v>
                </c:pt>
                <c:pt idx="4">
                  <c:v>January</c:v>
                </c:pt>
              </c:strCache>
            </c:strRef>
          </c:cat>
          <c:val>
            <c:numRef>
              <c:f>Sheet1!$R$4:$R$8</c:f>
              <c:numCache>
                <c:formatCode>0.00</c:formatCode>
                <c:ptCount val="5"/>
                <c:pt idx="0">
                  <c:v>1.222067039106146</c:v>
                </c:pt>
                <c:pt idx="1">
                  <c:v>1.225808060654429</c:v>
                </c:pt>
                <c:pt idx="2">
                  <c:v>1.163457701516361</c:v>
                </c:pt>
                <c:pt idx="3">
                  <c:v>1.02628691141261</c:v>
                </c:pt>
                <c:pt idx="4">
                  <c:v>0.997605746209098</c:v>
                </c:pt>
              </c:numCache>
            </c:numRef>
          </c:val>
        </c:ser>
        <c:ser>
          <c:idx val="2"/>
          <c:order val="2"/>
          <c:tx>
            <c:strRef>
              <c:f>Sheet1!$U$2:$U$3</c:f>
              <c:strCache>
                <c:ptCount val="1"/>
                <c:pt idx="0">
                  <c:v>PR Rated</c:v>
                </c:pt>
              </c:strCache>
            </c:strRef>
          </c:tx>
          <c:spPr>
            <a:pattFill prst="wdUpDiag">
              <a:fgClr>
                <a:srgbClr val="008000"/>
              </a:fgClr>
              <a:bgClr>
                <a:sysClr val="window" lastClr="FFFFFF"/>
              </a:bgClr>
            </a:pattFill>
            <a:ln>
              <a:solidFill>
                <a:srgbClr val="008000"/>
              </a:solidFill>
            </a:ln>
          </c:spPr>
          <c:invertIfNegative val="0"/>
          <c:cat>
            <c:strRef>
              <c:f>Sheet1!$A$4:$A$8</c:f>
              <c:strCache>
                <c:ptCount val="5"/>
                <c:pt idx="0">
                  <c:v>September</c:v>
                </c:pt>
                <c:pt idx="1">
                  <c:v>October</c:v>
                </c:pt>
                <c:pt idx="2">
                  <c:v>November</c:v>
                </c:pt>
                <c:pt idx="3">
                  <c:v>December</c:v>
                </c:pt>
                <c:pt idx="4">
                  <c:v>January</c:v>
                </c:pt>
              </c:strCache>
            </c:strRef>
          </c:cat>
          <c:val>
            <c:numRef>
              <c:f>Sheet1!$U$4:$U$8</c:f>
              <c:numCache>
                <c:formatCode>General</c:formatCode>
                <c:ptCount val="5"/>
                <c:pt idx="0">
                  <c:v>1.38916600159617</c:v>
                </c:pt>
                <c:pt idx="1">
                  <c:v>1.38916600159617</c:v>
                </c:pt>
                <c:pt idx="2">
                  <c:v>1.38916600159617</c:v>
                </c:pt>
                <c:pt idx="3">
                  <c:v>1.38916600159617</c:v>
                </c:pt>
                <c:pt idx="4">
                  <c:v>1.38916600159617</c:v>
                </c:pt>
              </c:numCache>
            </c:numRef>
          </c:val>
        </c:ser>
        <c:dLbls>
          <c:showLegendKey val="0"/>
          <c:showVal val="0"/>
          <c:showCatName val="0"/>
          <c:showSerName val="0"/>
          <c:showPercent val="0"/>
          <c:showBubbleSize val="0"/>
        </c:dLbls>
        <c:gapWidth val="200"/>
        <c:axId val="-2143761848"/>
        <c:axId val="-2143608296"/>
      </c:barChart>
      <c:catAx>
        <c:axId val="-2143761848"/>
        <c:scaling>
          <c:orientation val="minMax"/>
        </c:scaling>
        <c:delete val="0"/>
        <c:axPos val="b"/>
        <c:numFmt formatCode="General" sourceLinked="1"/>
        <c:majorTickMark val="out"/>
        <c:minorTickMark val="none"/>
        <c:tickLblPos val="nextTo"/>
        <c:spPr>
          <a:ln w="12700">
            <a:solidFill>
              <a:sysClr val="windowText" lastClr="000000"/>
            </a:solidFill>
          </a:ln>
        </c:spPr>
        <c:txPr>
          <a:bodyPr/>
          <a:lstStyle/>
          <a:p>
            <a:pPr>
              <a:defRPr sz="700" b="1"/>
            </a:pPr>
            <a:endParaRPr lang="en-US"/>
          </a:p>
        </c:txPr>
        <c:crossAx val="-2143608296"/>
        <c:crosses val="autoZero"/>
        <c:auto val="1"/>
        <c:lblAlgn val="ctr"/>
        <c:lblOffset val="100"/>
        <c:noMultiLvlLbl val="0"/>
      </c:catAx>
      <c:valAx>
        <c:axId val="-2143608296"/>
        <c:scaling>
          <c:orientation val="minMax"/>
          <c:max val="1.8"/>
        </c:scaling>
        <c:delete val="0"/>
        <c:axPos val="l"/>
        <c:title>
          <c:tx>
            <c:rich>
              <a:bodyPr rot="-5400000" vert="horz"/>
              <a:lstStyle/>
              <a:p>
                <a:pPr>
                  <a:defRPr sz="800"/>
                </a:pPr>
                <a:r>
                  <a:rPr lang="en-US" sz="800" i="1"/>
                  <a:t>P</a:t>
                </a:r>
                <a:r>
                  <a:rPr lang="en-US" sz="800" i="1" baseline="-25000"/>
                  <a:t>R</a:t>
                </a:r>
              </a:p>
            </c:rich>
          </c:tx>
          <c:layout>
            <c:manualLayout>
              <c:xMode val="edge"/>
              <c:yMode val="edge"/>
              <c:x val="0.00712255869567288"/>
              <c:y val="0.448994982381566"/>
            </c:manualLayout>
          </c:layout>
          <c:overlay val="0"/>
        </c:title>
        <c:numFmt formatCode="0.0" sourceLinked="0"/>
        <c:majorTickMark val="out"/>
        <c:minorTickMark val="none"/>
        <c:tickLblPos val="nextTo"/>
        <c:spPr>
          <a:ln w="12700">
            <a:solidFill>
              <a:sysClr val="windowText" lastClr="000000"/>
            </a:solidFill>
          </a:ln>
        </c:spPr>
        <c:txPr>
          <a:bodyPr/>
          <a:lstStyle/>
          <a:p>
            <a:pPr>
              <a:defRPr sz="800" b="0"/>
            </a:pPr>
            <a:endParaRPr lang="en-US"/>
          </a:p>
        </c:txPr>
        <c:crossAx val="-2143761848"/>
        <c:crosses val="autoZero"/>
        <c:crossBetween val="between"/>
      </c:valAx>
      <c:spPr>
        <a:ln w="12700">
          <a:solidFill>
            <a:sysClr val="windowText" lastClr="000000"/>
          </a:solidFill>
        </a:ln>
      </c:spPr>
    </c:plotArea>
    <c:legend>
      <c:legendPos val="r"/>
      <c:layout>
        <c:manualLayout>
          <c:xMode val="edge"/>
          <c:yMode val="edge"/>
          <c:x val="0.414141899782716"/>
          <c:y val="0.059135236869814"/>
          <c:w val="0.553353293754344"/>
          <c:h val="0.0547153140510901"/>
        </c:manualLayout>
      </c:layout>
      <c:overlay val="0"/>
      <c:spPr>
        <a:ln>
          <a:solidFill>
            <a:sysClr val="windowText" lastClr="000000"/>
          </a:solidFill>
        </a:ln>
        <a:effectLst>
          <a:outerShdw blurRad="50800" dist="38100" dir="2700000" algn="tl" rotWithShape="0">
            <a:srgbClr val="000000">
              <a:alpha val="43000"/>
            </a:srgbClr>
          </a:outerShdw>
        </a:effectLst>
      </c:spPr>
      <c:txPr>
        <a:bodyPr/>
        <a:lstStyle/>
        <a:p>
          <a:pPr>
            <a:defRPr sz="700"/>
          </a:pPr>
          <a:endParaRPr lang="en-US"/>
        </a:p>
      </c:txPr>
    </c:legend>
    <c:plotVisOnly val="1"/>
    <c:dispBlanksAs val="gap"/>
    <c:showDLblsOverMax val="0"/>
  </c:chart>
  <c:spPr>
    <a:ln>
      <a:noFill/>
    </a:ln>
  </c:spPr>
  <c:txPr>
    <a:bodyPr/>
    <a:lstStyle/>
    <a:p>
      <a:pPr>
        <a:defRPr>
          <a:latin typeface="Times"/>
          <a:cs typeface="Time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487474209662"/>
          <c:y val="0.0264171711612548"/>
          <c:w val="0.858496044792047"/>
          <c:h val="0.887727022564667"/>
        </c:manualLayout>
      </c:layout>
      <c:barChart>
        <c:barDir val="col"/>
        <c:grouping val="clustered"/>
        <c:varyColors val="0"/>
        <c:ser>
          <c:idx val="0"/>
          <c:order val="0"/>
          <c:tx>
            <c:strRef>
              <c:f>Sheet2!$E$2</c:f>
              <c:strCache>
                <c:ptCount val="1"/>
                <c:pt idx="0">
                  <c:v>%Diff (Rated- M2)</c:v>
                </c:pt>
              </c:strCache>
            </c:strRef>
          </c:tx>
          <c:spPr>
            <a:pattFill prst="lgConfetti">
              <a:fgClr>
                <a:srgbClr val="FF0000"/>
              </a:fgClr>
              <a:bgClr>
                <a:sysClr val="window" lastClr="FFFFFF"/>
              </a:bgClr>
            </a:pattFill>
            <a:ln w="12700">
              <a:solidFill>
                <a:srgbClr val="FF0000"/>
              </a:solidFill>
            </a:ln>
          </c:spPr>
          <c:invertIfNegative val="0"/>
          <c:cat>
            <c:strRef>
              <c:f>Sheet2!$A$3:$A$8</c:f>
              <c:strCache>
                <c:ptCount val="6"/>
                <c:pt idx="1">
                  <c:v>September</c:v>
                </c:pt>
                <c:pt idx="2">
                  <c:v>October</c:v>
                </c:pt>
                <c:pt idx="3">
                  <c:v>November</c:v>
                </c:pt>
                <c:pt idx="4">
                  <c:v>December</c:v>
                </c:pt>
                <c:pt idx="5">
                  <c:v>January</c:v>
                </c:pt>
              </c:strCache>
            </c:strRef>
          </c:cat>
          <c:val>
            <c:numRef>
              <c:f>Sheet2!$E$3:$E$8</c:f>
              <c:numCache>
                <c:formatCode>General</c:formatCode>
                <c:ptCount val="6"/>
                <c:pt idx="1">
                  <c:v>12.0287253141831</c:v>
                </c:pt>
                <c:pt idx="2">
                  <c:v>11.75942549371634</c:v>
                </c:pt>
                <c:pt idx="3">
                  <c:v>16.24775583482942</c:v>
                </c:pt>
                <c:pt idx="4">
                  <c:v>26.12208258527827</c:v>
                </c:pt>
                <c:pt idx="5">
                  <c:v>28.18671454219028</c:v>
                </c:pt>
              </c:numCache>
            </c:numRef>
          </c:val>
        </c:ser>
        <c:ser>
          <c:idx val="1"/>
          <c:order val="1"/>
          <c:tx>
            <c:strRef>
              <c:f>Sheet2!$F$2</c:f>
              <c:strCache>
                <c:ptCount val="1"/>
                <c:pt idx="0">
                  <c:v>%Diff (Rated- M1)</c:v>
                </c:pt>
              </c:strCache>
            </c:strRef>
          </c:tx>
          <c:spPr>
            <a:pattFill prst="wdDnDiag">
              <a:fgClr>
                <a:srgbClr val="0000FF"/>
              </a:fgClr>
              <a:bgClr>
                <a:sysClr val="window" lastClr="FFFFFF"/>
              </a:bgClr>
            </a:pattFill>
            <a:ln>
              <a:solidFill>
                <a:srgbClr val="0000FF"/>
              </a:solidFill>
            </a:ln>
          </c:spPr>
          <c:invertIfNegative val="0"/>
          <c:cat>
            <c:strRef>
              <c:f>Sheet2!$A$3:$A$8</c:f>
              <c:strCache>
                <c:ptCount val="6"/>
                <c:pt idx="1">
                  <c:v>September</c:v>
                </c:pt>
                <c:pt idx="2">
                  <c:v>October</c:v>
                </c:pt>
                <c:pt idx="3">
                  <c:v>November</c:v>
                </c:pt>
                <c:pt idx="4">
                  <c:v>December</c:v>
                </c:pt>
                <c:pt idx="5">
                  <c:v>January</c:v>
                </c:pt>
              </c:strCache>
            </c:strRef>
          </c:cat>
          <c:val>
            <c:numRef>
              <c:f>Sheet2!$F$3:$F$8</c:f>
              <c:numCache>
                <c:formatCode>General</c:formatCode>
                <c:ptCount val="6"/>
                <c:pt idx="1">
                  <c:v>14.99102333931775</c:v>
                </c:pt>
                <c:pt idx="2">
                  <c:v>34.11131059245961</c:v>
                </c:pt>
                <c:pt idx="3">
                  <c:v>15.43985637342908</c:v>
                </c:pt>
                <c:pt idx="4">
                  <c:v>25.58348294434468</c:v>
                </c:pt>
                <c:pt idx="5">
                  <c:v>20.01795332136445</c:v>
                </c:pt>
              </c:numCache>
            </c:numRef>
          </c:val>
        </c:ser>
        <c:ser>
          <c:idx val="2"/>
          <c:order val="2"/>
          <c:tx>
            <c:strRef>
              <c:f>Sheet2!$G$2</c:f>
              <c:strCache>
                <c:ptCount val="1"/>
                <c:pt idx="0">
                  <c:v>%Diff  (M2-M1)</c:v>
                </c:pt>
              </c:strCache>
            </c:strRef>
          </c:tx>
          <c:spPr>
            <a:pattFill prst="wdUpDiag">
              <a:fgClr>
                <a:srgbClr val="008000"/>
              </a:fgClr>
              <a:bgClr>
                <a:sysClr val="window" lastClr="FFFFFF"/>
              </a:bgClr>
            </a:pattFill>
            <a:ln w="12700">
              <a:solidFill>
                <a:srgbClr val="008000"/>
              </a:solidFill>
            </a:ln>
          </c:spPr>
          <c:invertIfNegative val="0"/>
          <c:cat>
            <c:strRef>
              <c:f>Sheet2!$A$3:$A$8</c:f>
              <c:strCache>
                <c:ptCount val="6"/>
                <c:pt idx="1">
                  <c:v>September</c:v>
                </c:pt>
                <c:pt idx="2">
                  <c:v>October</c:v>
                </c:pt>
                <c:pt idx="3">
                  <c:v>November</c:v>
                </c:pt>
                <c:pt idx="4">
                  <c:v>December</c:v>
                </c:pt>
                <c:pt idx="5">
                  <c:v>January</c:v>
                </c:pt>
              </c:strCache>
            </c:strRef>
          </c:cat>
          <c:val>
            <c:numRef>
              <c:f>Sheet2!$G$3:$G$8</c:f>
              <c:numCache>
                <c:formatCode>General</c:formatCode>
                <c:ptCount val="6"/>
                <c:pt idx="1">
                  <c:v>3.367346938775513</c:v>
                </c:pt>
                <c:pt idx="2">
                  <c:v>25.33062054933876</c:v>
                </c:pt>
                <c:pt idx="3">
                  <c:v>-0.964630225080366</c:v>
                </c:pt>
                <c:pt idx="4">
                  <c:v>-0.729040097205353</c:v>
                </c:pt>
                <c:pt idx="5">
                  <c:v>-11.37500000000001</c:v>
                </c:pt>
              </c:numCache>
            </c:numRef>
          </c:val>
        </c:ser>
        <c:dLbls>
          <c:showLegendKey val="0"/>
          <c:showVal val="0"/>
          <c:showCatName val="0"/>
          <c:showSerName val="0"/>
          <c:showPercent val="0"/>
          <c:showBubbleSize val="0"/>
        </c:dLbls>
        <c:gapWidth val="150"/>
        <c:axId val="-2141870632"/>
        <c:axId val="2145170648"/>
      </c:barChart>
      <c:catAx>
        <c:axId val="-2141870632"/>
        <c:scaling>
          <c:orientation val="minMax"/>
        </c:scaling>
        <c:delete val="0"/>
        <c:axPos val="b"/>
        <c:majorGridlines/>
        <c:majorTickMark val="out"/>
        <c:minorTickMark val="none"/>
        <c:tickLblPos val="low"/>
        <c:spPr>
          <a:ln w="12700">
            <a:solidFill>
              <a:sysClr val="windowText" lastClr="000000"/>
            </a:solidFill>
          </a:ln>
        </c:spPr>
        <c:txPr>
          <a:bodyPr/>
          <a:lstStyle/>
          <a:p>
            <a:pPr>
              <a:defRPr sz="700" b="1"/>
            </a:pPr>
            <a:endParaRPr lang="en-US"/>
          </a:p>
        </c:txPr>
        <c:crossAx val="2145170648"/>
        <c:crosses val="autoZero"/>
        <c:auto val="1"/>
        <c:lblAlgn val="ctr"/>
        <c:lblOffset val="100"/>
        <c:noMultiLvlLbl val="0"/>
      </c:catAx>
      <c:valAx>
        <c:axId val="2145170648"/>
        <c:scaling>
          <c:orientation val="minMax"/>
        </c:scaling>
        <c:delete val="0"/>
        <c:axPos val="l"/>
        <c:title>
          <c:tx>
            <c:rich>
              <a:bodyPr rot="-5400000" vert="horz"/>
              <a:lstStyle/>
              <a:p>
                <a:pPr>
                  <a:defRPr sz="800"/>
                </a:pPr>
                <a:r>
                  <a:rPr lang="en-US" sz="800"/>
                  <a:t>Percentage Difference (%)</a:t>
                </a:r>
              </a:p>
            </c:rich>
          </c:tx>
          <c:layout>
            <c:manualLayout>
              <c:xMode val="edge"/>
              <c:yMode val="edge"/>
              <c:x val="0.00204822444732609"/>
              <c:y val="0.17960846292063"/>
            </c:manualLayout>
          </c:layout>
          <c:overlay val="0"/>
        </c:title>
        <c:numFmt formatCode="General" sourceLinked="1"/>
        <c:majorTickMark val="out"/>
        <c:minorTickMark val="none"/>
        <c:tickLblPos val="nextTo"/>
        <c:spPr>
          <a:ln w="12700">
            <a:solidFill>
              <a:sysClr val="windowText" lastClr="000000"/>
            </a:solidFill>
          </a:ln>
        </c:spPr>
        <c:txPr>
          <a:bodyPr/>
          <a:lstStyle/>
          <a:p>
            <a:pPr>
              <a:defRPr sz="800"/>
            </a:pPr>
            <a:endParaRPr lang="en-US"/>
          </a:p>
        </c:txPr>
        <c:crossAx val="-2141870632"/>
        <c:crosses val="autoZero"/>
        <c:crossBetween val="between"/>
      </c:valAx>
      <c:spPr>
        <a:noFill/>
        <a:ln w="12700">
          <a:solidFill>
            <a:sysClr val="windowText" lastClr="000000"/>
          </a:solidFill>
        </a:ln>
      </c:spPr>
    </c:plotArea>
    <c:legend>
      <c:legendPos val="r"/>
      <c:layout>
        <c:manualLayout>
          <c:xMode val="edge"/>
          <c:yMode val="edge"/>
          <c:x val="0.27028840930667"/>
          <c:y val="0.04419708560612"/>
          <c:w val="0.699057070482285"/>
          <c:h val="0.0573932110990254"/>
        </c:manualLayout>
      </c:layout>
      <c:overlay val="0"/>
      <c:spPr>
        <a:solidFill>
          <a:sysClr val="window" lastClr="FFFFFF"/>
        </a:solidFill>
        <a:ln>
          <a:solidFill>
            <a:sysClr val="windowText" lastClr="000000"/>
          </a:solidFill>
        </a:ln>
        <a:effectLst>
          <a:outerShdw blurRad="50800" dist="38100" dir="2700000" algn="tl" rotWithShape="0">
            <a:srgbClr val="000000">
              <a:alpha val="43000"/>
            </a:srgbClr>
          </a:outerShdw>
        </a:effectLst>
      </c:spPr>
      <c:txPr>
        <a:bodyPr/>
        <a:lstStyle/>
        <a:p>
          <a:pPr>
            <a:defRPr sz="600"/>
          </a:pPr>
          <a:endParaRPr lang="en-US"/>
        </a:p>
      </c:txPr>
    </c:legend>
    <c:plotVisOnly val="1"/>
    <c:dispBlanksAs val="gap"/>
    <c:showDLblsOverMax val="0"/>
  </c:chart>
  <c:spPr>
    <a:ln>
      <a:noFill/>
    </a:ln>
  </c:spPr>
  <c:txPr>
    <a:bodyPr/>
    <a:lstStyle/>
    <a:p>
      <a:pPr>
        <a:defRPr>
          <a:latin typeface="Times"/>
          <a:cs typeface="Time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907108907338805"/>
          <c:y val="0.0468891781454626"/>
          <c:w val="0.900300609404581"/>
          <c:h val="0.830613413009032"/>
        </c:manualLayout>
      </c:layout>
      <c:lineChart>
        <c:grouping val="standard"/>
        <c:varyColors val="0"/>
        <c:ser>
          <c:idx val="0"/>
          <c:order val="0"/>
          <c:tx>
            <c:strRef>
              <c:f>pmax!$B$1</c:f>
              <c:strCache>
                <c:ptCount val="1"/>
                <c:pt idx="0">
                  <c:v>PmaxM1</c:v>
                </c:pt>
              </c:strCache>
            </c:strRef>
          </c:tx>
          <c:spPr>
            <a:ln w="12700">
              <a:solidFill>
                <a:srgbClr val="0000FF"/>
              </a:solidFill>
            </a:ln>
          </c:spPr>
          <c:marker>
            <c:symbol val="circle"/>
            <c:size val="4"/>
            <c:spPr>
              <a:solidFill>
                <a:srgbClr val="0000FF"/>
              </a:solidFill>
              <a:ln w="15875">
                <a:solidFill>
                  <a:srgbClr val="0000FF"/>
                </a:solidFill>
              </a:ln>
            </c:spPr>
          </c:marker>
          <c:cat>
            <c:strRef>
              <c:f>pmax!$A$2:$A$6</c:f>
              <c:strCache>
                <c:ptCount val="5"/>
                <c:pt idx="0">
                  <c:v>September</c:v>
                </c:pt>
                <c:pt idx="1">
                  <c:v>October</c:v>
                </c:pt>
                <c:pt idx="2">
                  <c:v>November</c:v>
                </c:pt>
                <c:pt idx="3">
                  <c:v>December</c:v>
                </c:pt>
                <c:pt idx="4">
                  <c:v>January</c:v>
                </c:pt>
              </c:strCache>
            </c:strRef>
          </c:cat>
          <c:val>
            <c:numRef>
              <c:f>pmax!$B$2:$B$6</c:f>
              <c:numCache>
                <c:formatCode>General</c:formatCode>
                <c:ptCount val="5"/>
                <c:pt idx="0">
                  <c:v>59.83</c:v>
                </c:pt>
                <c:pt idx="1">
                  <c:v>44.81922</c:v>
                </c:pt>
                <c:pt idx="2">
                  <c:v>68.15590547058817</c:v>
                </c:pt>
                <c:pt idx="3">
                  <c:v>57.1205152</c:v>
                </c:pt>
                <c:pt idx="4">
                  <c:v>62.21902458333333</c:v>
                </c:pt>
              </c:numCache>
            </c:numRef>
          </c:val>
          <c:smooth val="0"/>
        </c:ser>
        <c:ser>
          <c:idx val="1"/>
          <c:order val="1"/>
          <c:tx>
            <c:strRef>
              <c:f>pmax!$C$1</c:f>
              <c:strCache>
                <c:ptCount val="1"/>
                <c:pt idx="0">
                  <c:v>PmaxM2</c:v>
                </c:pt>
              </c:strCache>
            </c:strRef>
          </c:tx>
          <c:spPr>
            <a:ln w="12700">
              <a:solidFill>
                <a:srgbClr val="FF0000"/>
              </a:solidFill>
            </a:ln>
          </c:spPr>
          <c:marker>
            <c:symbol val="triangle"/>
            <c:size val="4"/>
            <c:spPr>
              <a:solidFill>
                <a:srgbClr val="FF0000"/>
              </a:solidFill>
              <a:ln w="12700">
                <a:solidFill>
                  <a:srgbClr val="FF0000"/>
                </a:solidFill>
              </a:ln>
            </c:spPr>
          </c:marker>
          <c:cat>
            <c:strRef>
              <c:f>pmax!$A$2:$A$6</c:f>
              <c:strCache>
                <c:ptCount val="5"/>
                <c:pt idx="0">
                  <c:v>September</c:v>
                </c:pt>
                <c:pt idx="1">
                  <c:v>October</c:v>
                </c:pt>
                <c:pt idx="2">
                  <c:v>November</c:v>
                </c:pt>
                <c:pt idx="3">
                  <c:v>December</c:v>
                </c:pt>
                <c:pt idx="4">
                  <c:v>January</c:v>
                </c:pt>
              </c:strCache>
            </c:strRef>
          </c:cat>
          <c:val>
            <c:numRef>
              <c:f>pmax!$C$2:$C$6</c:f>
              <c:numCache>
                <c:formatCode>General</c:formatCode>
                <c:ptCount val="5"/>
                <c:pt idx="0">
                  <c:v>61.93</c:v>
                </c:pt>
                <c:pt idx="1">
                  <c:v>60.91518000000001</c:v>
                </c:pt>
                <c:pt idx="2">
                  <c:v>69.9172631764706</c:v>
                </c:pt>
                <c:pt idx="3">
                  <c:v>56.7962482</c:v>
                </c:pt>
                <c:pt idx="4">
                  <c:v>55.83794566666663</c:v>
                </c:pt>
              </c:numCache>
            </c:numRef>
          </c:val>
          <c:smooth val="0"/>
        </c:ser>
        <c:dLbls>
          <c:showLegendKey val="0"/>
          <c:showVal val="0"/>
          <c:showCatName val="0"/>
          <c:showSerName val="0"/>
          <c:showPercent val="0"/>
          <c:showBubbleSize val="0"/>
        </c:dLbls>
        <c:marker val="1"/>
        <c:smooth val="0"/>
        <c:axId val="2084601800"/>
        <c:axId val="2084597464"/>
      </c:lineChart>
      <c:catAx>
        <c:axId val="2084601800"/>
        <c:scaling>
          <c:orientation val="minMax"/>
        </c:scaling>
        <c:delete val="0"/>
        <c:axPos val="b"/>
        <c:numFmt formatCode="mmm\-yy" sourceLinked="1"/>
        <c:majorTickMark val="out"/>
        <c:minorTickMark val="none"/>
        <c:tickLblPos val="nextTo"/>
        <c:spPr>
          <a:ln w="12700">
            <a:solidFill>
              <a:sysClr val="windowText" lastClr="000000"/>
            </a:solidFill>
          </a:ln>
        </c:spPr>
        <c:txPr>
          <a:bodyPr/>
          <a:lstStyle/>
          <a:p>
            <a:pPr>
              <a:defRPr b="1"/>
            </a:pPr>
            <a:endParaRPr lang="en-US"/>
          </a:p>
        </c:txPr>
        <c:crossAx val="2084597464"/>
        <c:crosses val="autoZero"/>
        <c:auto val="1"/>
        <c:lblAlgn val="ctr"/>
        <c:lblOffset val="100"/>
        <c:noMultiLvlLbl val="1"/>
      </c:catAx>
      <c:valAx>
        <c:axId val="2084597464"/>
        <c:scaling>
          <c:orientation val="minMax"/>
        </c:scaling>
        <c:delete val="0"/>
        <c:axPos val="l"/>
        <c:title>
          <c:tx>
            <c:rich>
              <a:bodyPr rot="-5400000" vert="horz"/>
              <a:lstStyle/>
              <a:p>
                <a:pPr>
                  <a:defRPr/>
                </a:pPr>
                <a:r>
                  <a:rPr lang="en-US"/>
                  <a:t>Maximum Power (W)</a:t>
                </a:r>
              </a:p>
            </c:rich>
          </c:tx>
          <c:layout>
            <c:manualLayout>
              <c:xMode val="edge"/>
              <c:yMode val="edge"/>
              <c:x val="0.00196266939757945"/>
              <c:y val="0.166945987663836"/>
            </c:manualLayout>
          </c:layout>
          <c:overlay val="0"/>
        </c:title>
        <c:numFmt formatCode="General" sourceLinked="1"/>
        <c:majorTickMark val="out"/>
        <c:minorTickMark val="none"/>
        <c:tickLblPos val="nextTo"/>
        <c:spPr>
          <a:ln w="12700">
            <a:solidFill>
              <a:sysClr val="windowText" lastClr="000000"/>
            </a:solidFill>
          </a:ln>
        </c:spPr>
        <c:crossAx val="2084601800"/>
        <c:crosses val="autoZero"/>
        <c:crossBetween val="between"/>
      </c:valAx>
      <c:spPr>
        <a:noFill/>
        <a:ln w="12700">
          <a:solidFill>
            <a:sysClr val="windowText" lastClr="000000"/>
          </a:solidFill>
        </a:ln>
      </c:spPr>
    </c:plotArea>
    <c:legend>
      <c:legendPos val="r"/>
      <c:layout>
        <c:manualLayout>
          <c:xMode val="edge"/>
          <c:yMode val="edge"/>
          <c:x val="0.670918217173749"/>
          <c:y val="0.0632099922513601"/>
          <c:w val="0.308350706327601"/>
          <c:h val="0.0765166883505263"/>
        </c:manualLayout>
      </c:layout>
      <c:overlay val="0"/>
      <c:spPr>
        <a:noFill/>
        <a:ln>
          <a:solidFill>
            <a:sysClr val="windowText" lastClr="000000"/>
          </a:solidFill>
        </a:ln>
        <a:effectLst>
          <a:outerShdw blurRad="50800" dist="38100" dir="2700000" algn="tl" rotWithShape="0">
            <a:srgbClr val="000000">
              <a:alpha val="43000"/>
            </a:srgbClr>
          </a:outerShdw>
        </a:effectLst>
      </c:spPr>
      <c:txPr>
        <a:bodyPr/>
        <a:lstStyle/>
        <a:p>
          <a:pPr>
            <a:defRPr sz="800"/>
          </a:pPr>
          <a:endParaRPr lang="en-US"/>
        </a:p>
      </c:txPr>
    </c:legend>
    <c:plotVisOnly val="1"/>
    <c:dispBlanksAs val="gap"/>
    <c:showDLblsOverMax val="0"/>
  </c:chart>
  <c:spPr>
    <a:ln>
      <a:noFill/>
    </a:ln>
  </c:spPr>
  <c:txPr>
    <a:bodyPr/>
    <a:lstStyle/>
    <a:p>
      <a:pPr>
        <a:defRPr>
          <a:latin typeface="Times"/>
          <a:cs typeface="Time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E55F-3D1A-CF48-9CFD-4694EE52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Settings\bmtunzi\research\Saip 2012\JPCSA4Template.dot</Template>
  <TotalTime>173</TotalTime>
  <Pages>6</Pages>
  <Words>2040</Words>
  <Characters>11629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bmtunzi</dc:creator>
  <cp:keywords>open access, proceedings, template, fast, affordable, flexible</cp:keywords>
  <dc:description/>
  <cp:lastModifiedBy>Edson  Meyer</cp:lastModifiedBy>
  <cp:revision>4</cp:revision>
  <cp:lastPrinted>2012-07-03T12:09:00Z</cp:lastPrinted>
  <dcterms:created xsi:type="dcterms:W3CDTF">2012-07-02T06:40:00Z</dcterms:created>
  <dcterms:modified xsi:type="dcterms:W3CDTF">2012-07-03T12:26:00Z</dcterms:modified>
</cp:coreProperties>
</file>