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67" w:rsidRPr="009D6F64" w:rsidRDefault="00714867" w:rsidP="00714867">
      <w:pPr>
        <w:jc w:val="both"/>
        <w:rPr>
          <w:rFonts w:ascii="Times New Roman" w:hAnsi="Times New Roman"/>
          <w:b/>
          <w:sz w:val="32"/>
          <w:szCs w:val="32"/>
        </w:rPr>
      </w:pPr>
    </w:p>
    <w:p w:rsidR="00714867" w:rsidRPr="009D6F64" w:rsidRDefault="00714867" w:rsidP="00714867">
      <w:pPr>
        <w:jc w:val="both"/>
        <w:rPr>
          <w:rFonts w:ascii="Times New Roman" w:hAnsi="Times New Roman"/>
          <w:b/>
          <w:sz w:val="32"/>
          <w:szCs w:val="32"/>
        </w:rPr>
      </w:pPr>
    </w:p>
    <w:p w:rsidR="00714867" w:rsidRDefault="00714867" w:rsidP="00C4698C">
      <w:pPr>
        <w:jc w:val="both"/>
        <w:rPr>
          <w:rFonts w:ascii="Times New Roman" w:hAnsi="Times New Roman"/>
          <w:sz w:val="32"/>
          <w:szCs w:val="32"/>
        </w:rPr>
      </w:pPr>
      <w:r w:rsidRPr="009D6F64">
        <w:rPr>
          <w:rFonts w:ascii="Times New Roman" w:hAnsi="Times New Roman"/>
          <w:b/>
          <w:sz w:val="34"/>
          <w:szCs w:val="34"/>
        </w:rPr>
        <w:t xml:space="preserve">Optimization of biogas by co-digestion using a field-scale bath digester </w:t>
      </w:r>
      <w:r w:rsidRPr="009D6F64">
        <w:rPr>
          <w:rFonts w:ascii="Times New Roman" w:hAnsi="Times New Roman"/>
          <w:sz w:val="32"/>
          <w:szCs w:val="32"/>
        </w:rPr>
        <w:t xml:space="preserve">   </w:t>
      </w:r>
    </w:p>
    <w:p w:rsidR="002A05AA" w:rsidRPr="009D6F64" w:rsidRDefault="002A05AA" w:rsidP="00C4698C">
      <w:pPr>
        <w:jc w:val="both"/>
        <w:rPr>
          <w:rFonts w:ascii="Times New Roman" w:hAnsi="Times New Roman"/>
          <w:b/>
          <w:sz w:val="34"/>
          <w:szCs w:val="34"/>
        </w:rPr>
      </w:pPr>
    </w:p>
    <w:p w:rsidR="00714867" w:rsidRPr="009D6F64" w:rsidRDefault="00714867" w:rsidP="00714867">
      <w:pPr>
        <w:pStyle w:val="NoSpacing"/>
        <w:spacing w:line="240" w:lineRule="auto"/>
        <w:ind w:right="288"/>
        <w:rPr>
          <w:sz w:val="24"/>
          <w:szCs w:val="24"/>
        </w:rPr>
      </w:pPr>
      <w:r w:rsidRPr="009D6F64">
        <w:rPr>
          <w:color w:val="auto"/>
          <w:sz w:val="32"/>
          <w:szCs w:val="32"/>
          <w:lang w:val="en-US"/>
        </w:rPr>
        <w:t xml:space="preserve">                 </w:t>
      </w:r>
      <w:r w:rsidRPr="009D6F64">
        <w:rPr>
          <w:sz w:val="24"/>
          <w:szCs w:val="24"/>
        </w:rPr>
        <w:t>P Mukumba</w:t>
      </w:r>
      <w:r w:rsidRPr="009D6F64">
        <w:rPr>
          <w:sz w:val="24"/>
          <w:szCs w:val="24"/>
          <w:vertAlign w:val="superscript"/>
        </w:rPr>
        <w:t>1</w:t>
      </w:r>
      <w:r w:rsidRPr="009D6F64">
        <w:rPr>
          <w:sz w:val="24"/>
          <w:szCs w:val="24"/>
        </w:rPr>
        <w:t>, G Makaka</w:t>
      </w:r>
      <w:r w:rsidRPr="009D6F64">
        <w:rPr>
          <w:sz w:val="24"/>
          <w:szCs w:val="24"/>
          <w:vertAlign w:val="superscript"/>
        </w:rPr>
        <w:t>1</w:t>
      </w:r>
      <w:r w:rsidRPr="009D6F64">
        <w:rPr>
          <w:sz w:val="24"/>
          <w:szCs w:val="24"/>
        </w:rPr>
        <w:t>, S Mamphweli</w:t>
      </w:r>
      <w:r w:rsidRPr="009D6F64">
        <w:rPr>
          <w:sz w:val="24"/>
          <w:szCs w:val="24"/>
          <w:vertAlign w:val="superscript"/>
        </w:rPr>
        <w:t>2</w:t>
      </w:r>
      <w:r w:rsidRPr="009D6F64">
        <w:rPr>
          <w:sz w:val="24"/>
          <w:szCs w:val="24"/>
        </w:rPr>
        <w:t>, E Meyer</w:t>
      </w:r>
      <w:r w:rsidRPr="009D6F64">
        <w:rPr>
          <w:sz w:val="24"/>
          <w:szCs w:val="24"/>
          <w:vertAlign w:val="superscript"/>
        </w:rPr>
        <w:t>2</w:t>
      </w:r>
    </w:p>
    <w:p w:rsidR="00714867" w:rsidRPr="009D6F64" w:rsidRDefault="00714867" w:rsidP="00714867">
      <w:pPr>
        <w:pStyle w:val="NoSpacing"/>
        <w:spacing w:line="240" w:lineRule="auto"/>
        <w:ind w:left="1440" w:right="288"/>
        <w:rPr>
          <w:sz w:val="24"/>
          <w:szCs w:val="24"/>
        </w:rPr>
      </w:pPr>
      <w:r w:rsidRPr="009D6F64">
        <w:rPr>
          <w:b w:val="0"/>
        </w:rPr>
        <w:t xml:space="preserve">University of Fort Hare, </w:t>
      </w:r>
      <w:r w:rsidRPr="009D6F64">
        <w:rPr>
          <w:b w:val="0"/>
          <w:vertAlign w:val="superscript"/>
        </w:rPr>
        <w:t>1</w:t>
      </w:r>
      <w:r w:rsidRPr="009D6F64">
        <w:rPr>
          <w:b w:val="0"/>
        </w:rPr>
        <w:t xml:space="preserve">Physics Department, </w:t>
      </w:r>
      <w:r w:rsidRPr="009D6F64">
        <w:rPr>
          <w:b w:val="0"/>
          <w:vertAlign w:val="superscript"/>
        </w:rPr>
        <w:t>2</w:t>
      </w:r>
      <w:r w:rsidRPr="009D6F64">
        <w:rPr>
          <w:b w:val="0"/>
        </w:rPr>
        <w:t>Institute of Technology, Private Bag X1314, Alice 5700.</w:t>
      </w:r>
    </w:p>
    <w:p w:rsidR="00714867" w:rsidRPr="009D6F64" w:rsidRDefault="00714867" w:rsidP="00714867">
      <w:pPr>
        <w:pStyle w:val="NoSpacing"/>
        <w:spacing w:line="240" w:lineRule="auto"/>
        <w:ind w:left="1440" w:right="288"/>
        <w:rPr>
          <w:b w:val="0"/>
        </w:rPr>
      </w:pPr>
    </w:p>
    <w:p w:rsidR="00714867" w:rsidRPr="009D6F64" w:rsidRDefault="00714867" w:rsidP="00714867">
      <w:pPr>
        <w:pStyle w:val="NoSpacing"/>
        <w:spacing w:line="240" w:lineRule="auto"/>
        <w:ind w:left="1440" w:right="288"/>
        <w:rPr>
          <w:b w:val="0"/>
        </w:rPr>
      </w:pPr>
      <w:r w:rsidRPr="009D6F64">
        <w:rPr>
          <w:b w:val="0"/>
        </w:rPr>
        <w:t>E-mail: pmukumba@ufh.ac.za</w:t>
      </w:r>
    </w:p>
    <w:p w:rsidR="00714867" w:rsidRPr="009D6F64" w:rsidRDefault="00714867" w:rsidP="00714867">
      <w:pPr>
        <w:pStyle w:val="NoSpacing"/>
        <w:spacing w:line="240" w:lineRule="auto"/>
        <w:ind w:left="1440" w:right="288"/>
        <w:rPr>
          <w:b w:val="0"/>
        </w:rPr>
      </w:pPr>
    </w:p>
    <w:p w:rsidR="00714867" w:rsidRDefault="00714867" w:rsidP="003C0CEE">
      <w:pPr>
        <w:spacing w:line="240" w:lineRule="auto"/>
        <w:ind w:left="1440"/>
        <w:jc w:val="both"/>
        <w:rPr>
          <w:rFonts w:ascii="Times New Roman" w:hAnsi="Times New Roman"/>
          <w:sz w:val="20"/>
          <w:szCs w:val="20"/>
        </w:rPr>
      </w:pPr>
      <w:r w:rsidRPr="009D6F64">
        <w:rPr>
          <w:rFonts w:ascii="Times New Roman" w:hAnsi="Times New Roman"/>
          <w:b/>
          <w:sz w:val="20"/>
          <w:szCs w:val="20"/>
        </w:rPr>
        <w:t>Abstract.</w:t>
      </w:r>
      <w:r w:rsidRPr="009D6F64">
        <w:rPr>
          <w:rFonts w:ascii="Times New Roman" w:hAnsi="Times New Roman"/>
          <w:sz w:val="20"/>
          <w:szCs w:val="20"/>
        </w:rPr>
        <w:t xml:space="preserve">  Biogas technology converts organic wastes into biogas, which consists of about 80% methane. The digester effluent after digestion can be used as manure. Co-digestion of organic wastes </w:t>
      </w:r>
      <w:proofErr w:type="gramStart"/>
      <w:r w:rsidRPr="009D6F64">
        <w:rPr>
          <w:rFonts w:ascii="Times New Roman" w:hAnsi="Times New Roman"/>
          <w:sz w:val="20"/>
          <w:szCs w:val="20"/>
        </w:rPr>
        <w:t>involve</w:t>
      </w:r>
      <w:proofErr w:type="gramEnd"/>
      <w:r w:rsidRPr="009D6F64">
        <w:rPr>
          <w:rFonts w:ascii="Times New Roman" w:hAnsi="Times New Roman"/>
          <w:sz w:val="20"/>
          <w:szCs w:val="20"/>
        </w:rPr>
        <w:t xml:space="preserve"> mixing of various substrates in varying proportions. The investigation was carried out using a field batch biogas digester. Fresh goat dung and horse dung were collected from the University of Fort Hare Honey dale farm. The latter substrates were analyzed for total solids (TS), volatile solids (VS), total alkalinity (TA) and calorific value (CV) before they were co-digested in a bath biogas digester in different mixing ratios. The biogas composition for each sample was </w:t>
      </w:r>
      <w:proofErr w:type="spellStart"/>
      <w:r w:rsidRPr="009D6F64">
        <w:rPr>
          <w:rFonts w:ascii="Times New Roman" w:hAnsi="Times New Roman"/>
          <w:sz w:val="20"/>
          <w:szCs w:val="20"/>
        </w:rPr>
        <w:t>analysed</w:t>
      </w:r>
      <w:proofErr w:type="spellEnd"/>
      <w:r w:rsidRPr="009D6F64">
        <w:rPr>
          <w:rFonts w:ascii="Times New Roman" w:hAnsi="Times New Roman"/>
          <w:sz w:val="20"/>
          <w:szCs w:val="20"/>
        </w:rPr>
        <w:t xml:space="preserve"> using a Non-Dispersive Infrared gas sensor, which detects methane gas up to 100% volume. The study found that a mixing ratio with 40% horse dung and 60% goat dung produced biogas with the highest methane yield. Therefore, biogas yield was influenced by variations in mixing ratios as well as waste types used.</w:t>
      </w:r>
    </w:p>
    <w:p w:rsidR="001C4F18" w:rsidRPr="009D6F64" w:rsidRDefault="001C4F18" w:rsidP="003C0CEE">
      <w:pPr>
        <w:spacing w:line="240" w:lineRule="auto"/>
        <w:ind w:left="1440"/>
        <w:jc w:val="both"/>
        <w:rPr>
          <w:rFonts w:ascii="Times New Roman" w:hAnsi="Times New Roman"/>
          <w:sz w:val="20"/>
          <w:szCs w:val="20"/>
        </w:rPr>
      </w:pPr>
    </w:p>
    <w:p w:rsidR="00714867" w:rsidRPr="009D6F64" w:rsidRDefault="00714867" w:rsidP="008B1DAD">
      <w:pPr>
        <w:spacing w:line="240" w:lineRule="auto"/>
        <w:jc w:val="both"/>
        <w:rPr>
          <w:rFonts w:ascii="Times New Roman" w:eastAsia="Times New Roman" w:hAnsi="Times New Roman"/>
          <w:color w:val="000000"/>
          <w:lang w:eastAsia="en-GB"/>
        </w:rPr>
      </w:pPr>
      <w:r w:rsidRPr="009D6F64">
        <w:rPr>
          <w:rFonts w:ascii="Times New Roman" w:eastAsia="Times New Roman" w:hAnsi="Times New Roman"/>
          <w:b/>
          <w:color w:val="000000"/>
          <w:lang w:eastAsia="en-GB"/>
        </w:rPr>
        <w:t>1. Introduction</w:t>
      </w:r>
    </w:p>
    <w:p w:rsidR="008B1DAD" w:rsidRPr="009D6F64" w:rsidRDefault="00714867" w:rsidP="008B1DAD">
      <w:pPr>
        <w:pStyle w:val="NoSpacing"/>
        <w:spacing w:line="240" w:lineRule="auto"/>
        <w:rPr>
          <w:b w:val="0"/>
          <w:sz w:val="22"/>
          <w:szCs w:val="22"/>
        </w:rPr>
      </w:pPr>
      <w:r w:rsidRPr="009D6F64">
        <w:rPr>
          <w:b w:val="0"/>
          <w:sz w:val="22"/>
          <w:szCs w:val="22"/>
        </w:rPr>
        <w:t>South African economy is highly dependent on fuel fuels, with coal accounting for about 90% of electricity generation. Fossil fuels have many negative impacts on the environment, which include, environmental degradation, climate change and human health problems (</w:t>
      </w:r>
      <w:proofErr w:type="spellStart"/>
      <w:r w:rsidRPr="009D6F64">
        <w:rPr>
          <w:b w:val="0"/>
          <w:sz w:val="22"/>
          <w:szCs w:val="22"/>
        </w:rPr>
        <w:t>Elaiyaraju</w:t>
      </w:r>
      <w:proofErr w:type="spellEnd"/>
      <w:r w:rsidRPr="009D6F64">
        <w:rPr>
          <w:b w:val="0"/>
          <w:sz w:val="22"/>
          <w:szCs w:val="22"/>
        </w:rPr>
        <w:t xml:space="preserve"> and </w:t>
      </w:r>
      <w:proofErr w:type="spellStart"/>
      <w:r w:rsidRPr="009D6F64">
        <w:rPr>
          <w:b w:val="0"/>
          <w:sz w:val="22"/>
          <w:szCs w:val="22"/>
        </w:rPr>
        <w:t>Partha</w:t>
      </w:r>
      <w:proofErr w:type="spellEnd"/>
      <w:r w:rsidRPr="009D6F64">
        <w:rPr>
          <w:b w:val="0"/>
          <w:sz w:val="22"/>
          <w:szCs w:val="22"/>
        </w:rPr>
        <w:t>, 2012). After the ratification of UNFCCC and Kyoto Protocol respectively in August 1997 and July 2002</w:t>
      </w:r>
      <w:r w:rsidR="003B70B9">
        <w:rPr>
          <w:b w:val="0"/>
          <w:sz w:val="22"/>
          <w:szCs w:val="22"/>
        </w:rPr>
        <w:t>,</w:t>
      </w:r>
      <w:r w:rsidRPr="009D6F64">
        <w:rPr>
          <w:b w:val="0"/>
          <w:sz w:val="22"/>
          <w:szCs w:val="22"/>
        </w:rPr>
        <w:t xml:space="preserve"> the South African government embarked upo</w:t>
      </w:r>
      <w:r w:rsidR="003B70B9">
        <w:rPr>
          <w:b w:val="0"/>
          <w:sz w:val="22"/>
          <w:szCs w:val="22"/>
        </w:rPr>
        <w:t xml:space="preserve">n numerous projects </w:t>
      </w:r>
      <w:r w:rsidRPr="009D6F64">
        <w:rPr>
          <w:b w:val="0"/>
          <w:sz w:val="22"/>
          <w:szCs w:val="22"/>
        </w:rPr>
        <w:t>relate</w:t>
      </w:r>
      <w:r w:rsidR="003B70B9">
        <w:rPr>
          <w:b w:val="0"/>
          <w:sz w:val="22"/>
          <w:szCs w:val="22"/>
        </w:rPr>
        <w:t>d</w:t>
      </w:r>
      <w:r w:rsidRPr="009D6F64">
        <w:rPr>
          <w:b w:val="0"/>
          <w:sz w:val="22"/>
          <w:szCs w:val="22"/>
        </w:rPr>
        <w:t xml:space="preserve"> to climate change, including projects that have been intended as measures to reduce greenhouse gases </w:t>
      </w:r>
      <w:r w:rsidRPr="009D6F64">
        <w:rPr>
          <w:b w:val="0"/>
          <w:color w:val="000000" w:themeColor="text1"/>
          <w:sz w:val="22"/>
          <w:szCs w:val="22"/>
        </w:rPr>
        <w:t>(</w:t>
      </w:r>
      <w:proofErr w:type="spellStart"/>
      <w:r w:rsidRPr="009D6F64">
        <w:rPr>
          <w:b w:val="0"/>
          <w:color w:val="000000" w:themeColor="text1"/>
          <w:sz w:val="22"/>
          <w:szCs w:val="22"/>
        </w:rPr>
        <w:t>Mwakasonda</w:t>
      </w:r>
      <w:proofErr w:type="spellEnd"/>
      <w:r w:rsidRPr="009D6F64">
        <w:rPr>
          <w:b w:val="0"/>
          <w:color w:val="000000" w:themeColor="text1"/>
          <w:sz w:val="22"/>
          <w:szCs w:val="22"/>
        </w:rPr>
        <w:t xml:space="preserve"> 2007). </w:t>
      </w:r>
      <w:r w:rsidRPr="009D6F64">
        <w:rPr>
          <w:b w:val="0"/>
          <w:sz w:val="22"/>
          <w:szCs w:val="22"/>
        </w:rPr>
        <w:t>One measure taken by the country to r</w:t>
      </w:r>
      <w:r w:rsidR="00B56222">
        <w:rPr>
          <w:b w:val="0"/>
          <w:sz w:val="22"/>
          <w:szCs w:val="22"/>
        </w:rPr>
        <w:t>educe green</w:t>
      </w:r>
      <w:r w:rsidRPr="009D6F64">
        <w:rPr>
          <w:b w:val="0"/>
          <w:sz w:val="22"/>
          <w:szCs w:val="22"/>
        </w:rPr>
        <w:t>house gas emissions was anaerobic digestion by use of biogas digesters in rural areas.</w:t>
      </w:r>
      <w:r w:rsidRPr="009D6F64">
        <w:rPr>
          <w:b w:val="0"/>
          <w:noProof/>
          <w:color w:val="231F20"/>
          <w:sz w:val="22"/>
          <w:szCs w:val="22"/>
        </w:rPr>
        <w:t xml:space="preserve"> </w:t>
      </w:r>
      <w:r w:rsidRPr="009D6F64">
        <w:rPr>
          <w:b w:val="0"/>
          <w:sz w:val="22"/>
          <w:szCs w:val="22"/>
        </w:rPr>
        <w:t xml:space="preserve">Anaerobic digestion is the production of biogas mainly methane from organic wastes in complete absence of oxygen by anaerobic aerobes such as </w:t>
      </w:r>
      <w:proofErr w:type="spellStart"/>
      <w:r w:rsidRPr="009D6F64">
        <w:rPr>
          <w:b w:val="0"/>
          <w:sz w:val="22"/>
          <w:szCs w:val="22"/>
        </w:rPr>
        <w:t>acetogens</w:t>
      </w:r>
      <w:proofErr w:type="spellEnd"/>
      <w:r w:rsidRPr="009D6F64">
        <w:rPr>
          <w:b w:val="0"/>
          <w:sz w:val="22"/>
          <w:szCs w:val="22"/>
        </w:rPr>
        <w:t xml:space="preserve">, </w:t>
      </w:r>
      <w:proofErr w:type="spellStart"/>
      <w:r w:rsidRPr="009D6F64">
        <w:rPr>
          <w:b w:val="0"/>
          <w:sz w:val="22"/>
          <w:szCs w:val="22"/>
        </w:rPr>
        <w:t>acidogens</w:t>
      </w:r>
      <w:proofErr w:type="spellEnd"/>
      <w:r w:rsidRPr="009D6F64">
        <w:rPr>
          <w:b w:val="0"/>
          <w:sz w:val="22"/>
          <w:szCs w:val="22"/>
        </w:rPr>
        <w:t xml:space="preserve"> and </w:t>
      </w:r>
      <w:proofErr w:type="spellStart"/>
      <w:r w:rsidRPr="009D6F64">
        <w:rPr>
          <w:b w:val="0"/>
          <w:sz w:val="22"/>
          <w:szCs w:val="22"/>
        </w:rPr>
        <w:t>methanogens</w:t>
      </w:r>
      <w:proofErr w:type="spellEnd"/>
      <w:r w:rsidRPr="009D6F64">
        <w:rPr>
          <w:b w:val="0"/>
          <w:sz w:val="22"/>
          <w:szCs w:val="22"/>
        </w:rPr>
        <w:t>.</w:t>
      </w:r>
    </w:p>
    <w:p w:rsidR="00714867" w:rsidRPr="009D6F64" w:rsidRDefault="008B1DAD" w:rsidP="008B1DAD">
      <w:pPr>
        <w:pStyle w:val="NoSpacing"/>
        <w:spacing w:line="240" w:lineRule="auto"/>
        <w:rPr>
          <w:b w:val="0"/>
          <w:sz w:val="22"/>
          <w:szCs w:val="22"/>
        </w:rPr>
      </w:pPr>
      <w:r w:rsidRPr="009D6F64">
        <w:rPr>
          <w:b w:val="0"/>
          <w:sz w:val="22"/>
          <w:szCs w:val="22"/>
        </w:rPr>
        <w:t xml:space="preserve">      </w:t>
      </w:r>
      <w:r w:rsidR="00714867" w:rsidRPr="009D6F64">
        <w:rPr>
          <w:rFonts w:eastAsiaTheme="minorHAnsi"/>
          <w:b w:val="0"/>
          <w:sz w:val="22"/>
          <w:szCs w:val="22"/>
        </w:rPr>
        <w:t xml:space="preserve"> </w:t>
      </w:r>
      <w:r w:rsidR="00714867" w:rsidRPr="009D6F64">
        <w:rPr>
          <w:b w:val="0"/>
          <w:sz w:val="22"/>
          <w:szCs w:val="22"/>
        </w:rPr>
        <w:t>Numerous studies have been conducted by several researchers in order to optimize biogas yield in anaerobic digestion (</w:t>
      </w:r>
      <w:proofErr w:type="spellStart"/>
      <w:r w:rsidR="00714867" w:rsidRPr="009D6F64">
        <w:rPr>
          <w:b w:val="0"/>
          <w:sz w:val="22"/>
          <w:szCs w:val="22"/>
        </w:rPr>
        <w:t>Iyagba</w:t>
      </w:r>
      <w:proofErr w:type="spellEnd"/>
      <w:r w:rsidR="00714867" w:rsidRPr="009D6F64">
        <w:rPr>
          <w:b w:val="0"/>
          <w:sz w:val="22"/>
          <w:szCs w:val="22"/>
        </w:rPr>
        <w:t xml:space="preserve"> </w:t>
      </w:r>
      <w:r w:rsidR="00714867" w:rsidRPr="009D6F64">
        <w:rPr>
          <w:b w:val="0"/>
          <w:i/>
          <w:sz w:val="22"/>
          <w:szCs w:val="22"/>
        </w:rPr>
        <w:t>et al.,</w:t>
      </w:r>
      <w:r w:rsidR="00714867" w:rsidRPr="009D6F64">
        <w:rPr>
          <w:b w:val="0"/>
          <w:sz w:val="22"/>
          <w:szCs w:val="22"/>
        </w:rPr>
        <w:t xml:space="preserve"> 2009; Li </w:t>
      </w:r>
      <w:r w:rsidR="00714867" w:rsidRPr="009D6F64">
        <w:rPr>
          <w:b w:val="0"/>
          <w:i/>
          <w:sz w:val="22"/>
          <w:szCs w:val="22"/>
        </w:rPr>
        <w:t>et al.,</w:t>
      </w:r>
      <w:r w:rsidR="00714867" w:rsidRPr="009D6F64">
        <w:rPr>
          <w:b w:val="0"/>
          <w:sz w:val="22"/>
          <w:szCs w:val="22"/>
        </w:rPr>
        <w:t xml:space="preserve"> 2011; </w:t>
      </w:r>
      <w:proofErr w:type="spellStart"/>
      <w:r w:rsidR="00714867" w:rsidRPr="009D6F64">
        <w:rPr>
          <w:b w:val="0"/>
          <w:sz w:val="22"/>
          <w:szCs w:val="22"/>
        </w:rPr>
        <w:t>Misi</w:t>
      </w:r>
      <w:proofErr w:type="spellEnd"/>
      <w:r w:rsidR="00714867" w:rsidRPr="009D6F64">
        <w:rPr>
          <w:b w:val="0"/>
          <w:sz w:val="22"/>
          <w:szCs w:val="22"/>
        </w:rPr>
        <w:t xml:space="preserve"> 2001; </w:t>
      </w:r>
      <w:proofErr w:type="spellStart"/>
      <w:r w:rsidR="00714867" w:rsidRPr="009D6F64">
        <w:rPr>
          <w:b w:val="0"/>
          <w:sz w:val="22"/>
          <w:szCs w:val="22"/>
        </w:rPr>
        <w:t>Mukumba</w:t>
      </w:r>
      <w:proofErr w:type="spellEnd"/>
      <w:r w:rsidR="00714867" w:rsidRPr="009D6F64">
        <w:rPr>
          <w:b w:val="0"/>
          <w:sz w:val="22"/>
          <w:szCs w:val="22"/>
        </w:rPr>
        <w:t xml:space="preserve"> </w:t>
      </w:r>
      <w:r w:rsidR="00714867" w:rsidRPr="009D6F64">
        <w:rPr>
          <w:b w:val="0"/>
          <w:i/>
          <w:sz w:val="22"/>
          <w:szCs w:val="22"/>
        </w:rPr>
        <w:t xml:space="preserve">et al., </w:t>
      </w:r>
      <w:r w:rsidR="00714867" w:rsidRPr="009D6F64">
        <w:rPr>
          <w:b w:val="0"/>
          <w:sz w:val="22"/>
          <w:szCs w:val="22"/>
        </w:rPr>
        <w:t xml:space="preserve">2011; </w:t>
      </w:r>
      <w:proofErr w:type="spellStart"/>
      <w:r w:rsidR="00714867" w:rsidRPr="009D6F64">
        <w:rPr>
          <w:b w:val="0"/>
          <w:sz w:val="22"/>
          <w:szCs w:val="22"/>
        </w:rPr>
        <w:t>Uzodinma</w:t>
      </w:r>
      <w:proofErr w:type="spellEnd"/>
      <w:r w:rsidR="00714867" w:rsidRPr="009D6F64">
        <w:rPr>
          <w:b w:val="0"/>
          <w:sz w:val="22"/>
          <w:szCs w:val="22"/>
        </w:rPr>
        <w:t xml:space="preserve"> </w:t>
      </w:r>
      <w:r w:rsidR="00714867" w:rsidRPr="009D6F64">
        <w:rPr>
          <w:b w:val="0"/>
          <w:i/>
          <w:sz w:val="22"/>
          <w:szCs w:val="22"/>
        </w:rPr>
        <w:t>et al.,</w:t>
      </w:r>
      <w:r w:rsidR="00714867" w:rsidRPr="009D6F64">
        <w:rPr>
          <w:b w:val="0"/>
          <w:sz w:val="22"/>
          <w:szCs w:val="22"/>
        </w:rPr>
        <w:t xml:space="preserve"> 2009). These studies established that using co-substrates in anaerobic digestion system improves the biogas yield due to positive synergisms established in the digestion medium and supply of missing nutrients by the co-substrates. The co-digestion of organic wastes involves mixing of various substrates in varying proportions (</w:t>
      </w:r>
      <w:proofErr w:type="spellStart"/>
      <w:r w:rsidR="00714867" w:rsidRPr="009D6F64">
        <w:rPr>
          <w:b w:val="0"/>
          <w:sz w:val="22"/>
          <w:szCs w:val="22"/>
        </w:rPr>
        <w:t>Misi</w:t>
      </w:r>
      <w:proofErr w:type="spellEnd"/>
      <w:r w:rsidR="00714867" w:rsidRPr="009D6F64">
        <w:rPr>
          <w:b w:val="0"/>
          <w:sz w:val="22"/>
          <w:szCs w:val="22"/>
        </w:rPr>
        <w:t>, 2001</w:t>
      </w:r>
      <w:r w:rsidR="00714867" w:rsidRPr="009D6F64">
        <w:rPr>
          <w:b w:val="0"/>
          <w:i/>
          <w:sz w:val="22"/>
          <w:szCs w:val="22"/>
        </w:rPr>
        <w:t xml:space="preserve">). </w:t>
      </w:r>
    </w:p>
    <w:p w:rsidR="001C4F18" w:rsidRDefault="00714867" w:rsidP="00714867">
      <w:pPr>
        <w:spacing w:line="240" w:lineRule="auto"/>
        <w:jc w:val="both"/>
        <w:rPr>
          <w:rFonts w:ascii="Times New Roman" w:hAnsi="Times New Roman"/>
        </w:rPr>
      </w:pPr>
      <w:r w:rsidRPr="009D6F64">
        <w:rPr>
          <w:rFonts w:ascii="Times New Roman" w:eastAsiaTheme="minorHAnsi" w:hAnsi="Times New Roman"/>
        </w:rPr>
        <w:t xml:space="preserve">     The aim of the paper is to optimize biogas production by co-digestion. The biogas digester substrates used for co-digestion were goat dung and horse dung.</w:t>
      </w:r>
      <w:r w:rsidRPr="009D6F64">
        <w:rPr>
          <w:rFonts w:ascii="Times New Roman" w:hAnsi="Times New Roman"/>
        </w:rPr>
        <w:t xml:space="preserve"> These wastes were co-digested at different mixing ratios. </w:t>
      </w:r>
    </w:p>
    <w:p w:rsidR="00714867" w:rsidRPr="009D6F64" w:rsidRDefault="00714867" w:rsidP="00714867">
      <w:pPr>
        <w:spacing w:line="240" w:lineRule="auto"/>
        <w:jc w:val="both"/>
        <w:rPr>
          <w:rFonts w:ascii="Times New Roman" w:eastAsia="Times New Roman" w:hAnsi="Times New Roman"/>
          <w:b/>
          <w:color w:val="000000"/>
          <w:lang w:eastAsia="en-GB"/>
        </w:rPr>
      </w:pPr>
      <w:r w:rsidRPr="009D6F64">
        <w:rPr>
          <w:rFonts w:ascii="Times New Roman" w:eastAsia="Times New Roman" w:hAnsi="Times New Roman"/>
          <w:b/>
          <w:color w:val="000000"/>
          <w:lang w:eastAsia="en-GB"/>
        </w:rPr>
        <w:lastRenderedPageBreak/>
        <w:t>2. Methodology</w:t>
      </w:r>
    </w:p>
    <w:p w:rsidR="00714867" w:rsidRPr="009D6F64" w:rsidRDefault="00714867" w:rsidP="00714867">
      <w:pPr>
        <w:spacing w:line="240" w:lineRule="auto"/>
        <w:jc w:val="both"/>
        <w:rPr>
          <w:rFonts w:ascii="Times New Roman" w:hAnsi="Times New Roman"/>
          <w:i/>
        </w:rPr>
      </w:pPr>
      <w:r w:rsidRPr="009D6F64">
        <w:rPr>
          <w:rFonts w:ascii="Times New Roman" w:hAnsi="Times New Roman"/>
          <w:i/>
        </w:rPr>
        <w:t>2.1. Source of substrate and mixing proportions</w:t>
      </w:r>
    </w:p>
    <w:p w:rsidR="00714867" w:rsidRPr="009D6F64" w:rsidRDefault="00714867" w:rsidP="00714867">
      <w:pPr>
        <w:spacing w:after="0" w:line="240" w:lineRule="auto"/>
        <w:jc w:val="both"/>
        <w:rPr>
          <w:rFonts w:ascii="Times New Roman" w:hAnsi="Times New Roman"/>
        </w:rPr>
      </w:pPr>
      <w:r w:rsidRPr="009D6F64">
        <w:rPr>
          <w:rFonts w:ascii="Times New Roman" w:hAnsi="Times New Roman"/>
        </w:rPr>
        <w:t>Fresh goat dung and horse dung were collected from University of Fort Hare Honey dale farm. The goat dung was in form of pellets. The goat dung and horse dung were mixed i</w:t>
      </w:r>
      <w:r w:rsidR="00DB2A2A" w:rsidRPr="009D6F64">
        <w:rPr>
          <w:rFonts w:ascii="Times New Roman" w:hAnsi="Times New Roman"/>
        </w:rPr>
        <w:t>n different proportions. Table 1</w:t>
      </w:r>
      <w:r w:rsidRPr="009D6F64">
        <w:rPr>
          <w:rFonts w:ascii="Times New Roman" w:hAnsi="Times New Roman"/>
        </w:rPr>
        <w:t xml:space="preserve"> shows the mixing proportions for </w:t>
      </w:r>
      <w:r w:rsidRPr="009D6F64">
        <w:rPr>
          <w:rFonts w:ascii="Times New Roman" w:hAnsi="Times New Roman"/>
          <w:lang w:val="en-GB"/>
        </w:rPr>
        <w:t xml:space="preserve">horse dung and goat dung. Lime was added to each prepared sample to </w:t>
      </w:r>
      <w:r w:rsidRPr="009D6F64">
        <w:rPr>
          <w:rFonts w:ascii="Times New Roman" w:hAnsi="Times New Roman"/>
        </w:rPr>
        <w:t>inhibit pH fluctuations within the biogas digester.</w:t>
      </w:r>
    </w:p>
    <w:p w:rsidR="00714867" w:rsidRPr="009D6F64" w:rsidRDefault="00714867" w:rsidP="00714867">
      <w:pPr>
        <w:spacing w:after="0" w:line="240" w:lineRule="auto"/>
        <w:jc w:val="center"/>
        <w:rPr>
          <w:rFonts w:ascii="Times New Roman" w:eastAsia="Times New Roman" w:hAnsi="Times New Roman"/>
          <w:color w:val="000000"/>
        </w:rPr>
      </w:pPr>
    </w:p>
    <w:p w:rsidR="00714867" w:rsidRPr="009D6F64" w:rsidRDefault="00DB2A2A" w:rsidP="00714867">
      <w:pPr>
        <w:spacing w:line="240" w:lineRule="auto"/>
        <w:jc w:val="center"/>
        <w:rPr>
          <w:rFonts w:ascii="Times New Roman" w:hAnsi="Times New Roman"/>
        </w:rPr>
      </w:pPr>
      <w:proofErr w:type="gramStart"/>
      <w:r w:rsidRPr="009D6F64">
        <w:rPr>
          <w:rFonts w:ascii="Times New Roman" w:hAnsi="Times New Roman"/>
          <w:b/>
          <w:lang w:val="en-GB"/>
        </w:rPr>
        <w:t>Table 1</w:t>
      </w:r>
      <w:r w:rsidR="00714867" w:rsidRPr="009D6F64">
        <w:rPr>
          <w:rFonts w:ascii="Times New Roman" w:hAnsi="Times New Roman"/>
          <w:b/>
          <w:lang w:val="en-GB"/>
        </w:rPr>
        <w:t>.</w:t>
      </w:r>
      <w:proofErr w:type="gramEnd"/>
      <w:r w:rsidR="00714867" w:rsidRPr="009D6F64">
        <w:rPr>
          <w:rFonts w:ascii="Times New Roman" w:hAnsi="Times New Roman"/>
          <w:lang w:val="en-GB"/>
        </w:rPr>
        <w:t xml:space="preserve"> Mixing proportions for horse dung and goat dung</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18"/>
        <w:gridCol w:w="3420"/>
        <w:gridCol w:w="3330"/>
      </w:tblGrid>
      <w:tr w:rsidR="00714867" w:rsidRPr="009D6F64" w:rsidTr="004576FB">
        <w:tc>
          <w:tcPr>
            <w:tcW w:w="2718" w:type="dxa"/>
            <w:tcBorders>
              <w:top w:val="single" w:sz="4" w:space="0" w:color="auto"/>
              <w:bottom w:val="single" w:sz="4" w:space="0" w:color="auto"/>
            </w:tcBorders>
          </w:tcPr>
          <w:p w:rsidR="00714867" w:rsidRPr="00DE4A74" w:rsidRDefault="00714867" w:rsidP="00300468">
            <w:pPr>
              <w:jc w:val="both"/>
              <w:rPr>
                <w:rFonts w:ascii="Times New Roman" w:hAnsi="Times New Roman"/>
                <w:b/>
              </w:rPr>
            </w:pPr>
            <w:r w:rsidRPr="00DE4A74">
              <w:rPr>
                <w:rFonts w:ascii="Times New Roman" w:hAnsi="Times New Roman"/>
                <w:b/>
              </w:rPr>
              <w:t xml:space="preserve">Treatment </w:t>
            </w:r>
          </w:p>
        </w:tc>
        <w:tc>
          <w:tcPr>
            <w:tcW w:w="3420" w:type="dxa"/>
            <w:tcBorders>
              <w:top w:val="single" w:sz="4" w:space="0" w:color="auto"/>
              <w:bottom w:val="single" w:sz="4" w:space="0" w:color="auto"/>
            </w:tcBorders>
          </w:tcPr>
          <w:p w:rsidR="00714867" w:rsidRPr="00DE4A74" w:rsidRDefault="00714867" w:rsidP="00300468">
            <w:pPr>
              <w:jc w:val="center"/>
              <w:rPr>
                <w:rFonts w:ascii="Times New Roman" w:hAnsi="Times New Roman"/>
                <w:b/>
              </w:rPr>
            </w:pPr>
            <w:r w:rsidRPr="00DE4A74">
              <w:rPr>
                <w:rFonts w:ascii="Times New Roman" w:hAnsi="Times New Roman"/>
                <w:b/>
              </w:rPr>
              <w:t>% of horse dung</w:t>
            </w:r>
          </w:p>
        </w:tc>
        <w:tc>
          <w:tcPr>
            <w:tcW w:w="3330" w:type="dxa"/>
            <w:tcBorders>
              <w:top w:val="single" w:sz="4" w:space="0" w:color="auto"/>
              <w:bottom w:val="single" w:sz="4" w:space="0" w:color="auto"/>
            </w:tcBorders>
          </w:tcPr>
          <w:p w:rsidR="00714867" w:rsidRPr="00DE4A74" w:rsidRDefault="00714867" w:rsidP="00300468">
            <w:pPr>
              <w:jc w:val="center"/>
              <w:rPr>
                <w:rFonts w:ascii="Times New Roman" w:hAnsi="Times New Roman"/>
                <w:b/>
              </w:rPr>
            </w:pPr>
            <w:r w:rsidRPr="00DE4A74">
              <w:rPr>
                <w:rFonts w:ascii="Times New Roman" w:hAnsi="Times New Roman"/>
                <w:b/>
              </w:rPr>
              <w:t>% of goat dung</w:t>
            </w:r>
          </w:p>
        </w:tc>
      </w:tr>
      <w:tr w:rsidR="00714867" w:rsidRPr="009D6F64" w:rsidTr="004576FB">
        <w:tc>
          <w:tcPr>
            <w:tcW w:w="2718" w:type="dxa"/>
            <w:tcBorders>
              <w:top w:val="single" w:sz="4" w:space="0" w:color="auto"/>
            </w:tcBorders>
          </w:tcPr>
          <w:p w:rsidR="00714867" w:rsidRPr="00DE4A74" w:rsidRDefault="00714867" w:rsidP="00300468">
            <w:pPr>
              <w:jc w:val="both"/>
              <w:rPr>
                <w:rFonts w:ascii="Times New Roman" w:hAnsi="Times New Roman"/>
              </w:rPr>
            </w:pPr>
            <w:r w:rsidRPr="00DE4A74">
              <w:rPr>
                <w:rFonts w:ascii="Times New Roman" w:hAnsi="Times New Roman"/>
              </w:rPr>
              <w:t>A</w:t>
            </w:r>
          </w:p>
        </w:tc>
        <w:tc>
          <w:tcPr>
            <w:tcW w:w="3420" w:type="dxa"/>
            <w:tcBorders>
              <w:top w:val="single" w:sz="4" w:space="0" w:color="auto"/>
            </w:tcBorders>
          </w:tcPr>
          <w:p w:rsidR="00714867" w:rsidRPr="00DE4A74" w:rsidRDefault="00714867" w:rsidP="00300468">
            <w:pPr>
              <w:jc w:val="center"/>
              <w:rPr>
                <w:rFonts w:ascii="Times New Roman" w:hAnsi="Times New Roman"/>
              </w:rPr>
            </w:pPr>
            <w:r w:rsidRPr="00DE4A74">
              <w:rPr>
                <w:rFonts w:ascii="Times New Roman" w:hAnsi="Times New Roman"/>
              </w:rPr>
              <w:t>0</w:t>
            </w:r>
          </w:p>
        </w:tc>
        <w:tc>
          <w:tcPr>
            <w:tcW w:w="3330" w:type="dxa"/>
            <w:tcBorders>
              <w:top w:val="single" w:sz="4" w:space="0" w:color="auto"/>
            </w:tcBorders>
          </w:tcPr>
          <w:p w:rsidR="00714867" w:rsidRPr="00DE4A74" w:rsidRDefault="00714867" w:rsidP="00300468">
            <w:pPr>
              <w:jc w:val="center"/>
              <w:rPr>
                <w:rFonts w:ascii="Times New Roman" w:hAnsi="Times New Roman"/>
              </w:rPr>
            </w:pPr>
            <w:r w:rsidRPr="00DE4A74">
              <w:rPr>
                <w:rFonts w:ascii="Times New Roman" w:hAnsi="Times New Roman"/>
              </w:rPr>
              <w:t>100</w:t>
            </w:r>
          </w:p>
        </w:tc>
      </w:tr>
      <w:tr w:rsidR="00714867" w:rsidRPr="009D6F64" w:rsidTr="004576FB">
        <w:tc>
          <w:tcPr>
            <w:tcW w:w="2718" w:type="dxa"/>
          </w:tcPr>
          <w:p w:rsidR="00714867" w:rsidRPr="00DE4A74" w:rsidRDefault="00714867" w:rsidP="00300468">
            <w:pPr>
              <w:jc w:val="both"/>
              <w:rPr>
                <w:rFonts w:ascii="Times New Roman" w:hAnsi="Times New Roman"/>
              </w:rPr>
            </w:pPr>
            <w:r w:rsidRPr="00DE4A74">
              <w:rPr>
                <w:rFonts w:ascii="Times New Roman" w:hAnsi="Times New Roman"/>
              </w:rPr>
              <w:t>B</w:t>
            </w:r>
          </w:p>
        </w:tc>
        <w:tc>
          <w:tcPr>
            <w:tcW w:w="3420" w:type="dxa"/>
          </w:tcPr>
          <w:p w:rsidR="00714867" w:rsidRPr="00DE4A74" w:rsidRDefault="00714867" w:rsidP="00300468">
            <w:pPr>
              <w:jc w:val="center"/>
              <w:rPr>
                <w:rFonts w:ascii="Times New Roman" w:hAnsi="Times New Roman"/>
              </w:rPr>
            </w:pPr>
            <w:r w:rsidRPr="00DE4A74">
              <w:rPr>
                <w:rFonts w:ascii="Times New Roman" w:hAnsi="Times New Roman"/>
              </w:rPr>
              <w:t>40</w:t>
            </w:r>
          </w:p>
        </w:tc>
        <w:tc>
          <w:tcPr>
            <w:tcW w:w="3330" w:type="dxa"/>
          </w:tcPr>
          <w:p w:rsidR="00714867" w:rsidRPr="00DE4A74" w:rsidRDefault="00714867" w:rsidP="00300468">
            <w:pPr>
              <w:jc w:val="center"/>
              <w:rPr>
                <w:rFonts w:ascii="Times New Roman" w:hAnsi="Times New Roman"/>
              </w:rPr>
            </w:pPr>
            <w:r w:rsidRPr="00DE4A74">
              <w:rPr>
                <w:rFonts w:ascii="Times New Roman" w:hAnsi="Times New Roman"/>
              </w:rPr>
              <w:t>60</w:t>
            </w:r>
          </w:p>
        </w:tc>
      </w:tr>
      <w:tr w:rsidR="00714867" w:rsidRPr="009D6F64" w:rsidTr="004576FB">
        <w:tc>
          <w:tcPr>
            <w:tcW w:w="2718" w:type="dxa"/>
          </w:tcPr>
          <w:p w:rsidR="00714867" w:rsidRPr="00DE4A74" w:rsidRDefault="00714867" w:rsidP="00300468">
            <w:pPr>
              <w:jc w:val="both"/>
              <w:rPr>
                <w:rFonts w:ascii="Times New Roman" w:hAnsi="Times New Roman"/>
              </w:rPr>
            </w:pPr>
            <w:r w:rsidRPr="00DE4A74">
              <w:rPr>
                <w:rFonts w:ascii="Times New Roman" w:hAnsi="Times New Roman"/>
              </w:rPr>
              <w:t>C</w:t>
            </w:r>
          </w:p>
        </w:tc>
        <w:tc>
          <w:tcPr>
            <w:tcW w:w="3420" w:type="dxa"/>
          </w:tcPr>
          <w:p w:rsidR="00714867" w:rsidRPr="00DE4A74" w:rsidRDefault="00714867" w:rsidP="00300468">
            <w:pPr>
              <w:jc w:val="center"/>
              <w:rPr>
                <w:rFonts w:ascii="Times New Roman" w:hAnsi="Times New Roman"/>
              </w:rPr>
            </w:pPr>
            <w:r w:rsidRPr="00DE4A74">
              <w:rPr>
                <w:rFonts w:ascii="Times New Roman" w:hAnsi="Times New Roman"/>
              </w:rPr>
              <w:t>50</w:t>
            </w:r>
          </w:p>
        </w:tc>
        <w:tc>
          <w:tcPr>
            <w:tcW w:w="3330" w:type="dxa"/>
          </w:tcPr>
          <w:p w:rsidR="00714867" w:rsidRPr="00DE4A74" w:rsidRDefault="00714867" w:rsidP="00300468">
            <w:pPr>
              <w:jc w:val="center"/>
              <w:rPr>
                <w:rFonts w:ascii="Times New Roman" w:hAnsi="Times New Roman"/>
              </w:rPr>
            </w:pPr>
            <w:r w:rsidRPr="00DE4A74">
              <w:rPr>
                <w:rFonts w:ascii="Times New Roman" w:hAnsi="Times New Roman"/>
              </w:rPr>
              <w:t>50</w:t>
            </w:r>
          </w:p>
        </w:tc>
      </w:tr>
      <w:tr w:rsidR="00714867" w:rsidRPr="009D6F64" w:rsidTr="004576FB">
        <w:tc>
          <w:tcPr>
            <w:tcW w:w="2718" w:type="dxa"/>
          </w:tcPr>
          <w:p w:rsidR="00714867" w:rsidRPr="00DE4A74" w:rsidRDefault="00714867" w:rsidP="00300468">
            <w:pPr>
              <w:jc w:val="both"/>
              <w:rPr>
                <w:rFonts w:ascii="Times New Roman" w:hAnsi="Times New Roman"/>
              </w:rPr>
            </w:pPr>
            <w:r w:rsidRPr="00DE4A74">
              <w:rPr>
                <w:rFonts w:ascii="Times New Roman" w:hAnsi="Times New Roman"/>
              </w:rPr>
              <w:t>D</w:t>
            </w:r>
          </w:p>
        </w:tc>
        <w:tc>
          <w:tcPr>
            <w:tcW w:w="3420" w:type="dxa"/>
          </w:tcPr>
          <w:p w:rsidR="00714867" w:rsidRPr="00DE4A74" w:rsidRDefault="00714867" w:rsidP="00300468">
            <w:pPr>
              <w:jc w:val="center"/>
              <w:rPr>
                <w:rFonts w:ascii="Times New Roman" w:hAnsi="Times New Roman"/>
              </w:rPr>
            </w:pPr>
            <w:r w:rsidRPr="00DE4A74">
              <w:rPr>
                <w:rFonts w:ascii="Times New Roman" w:hAnsi="Times New Roman"/>
              </w:rPr>
              <w:t>60</w:t>
            </w:r>
          </w:p>
        </w:tc>
        <w:tc>
          <w:tcPr>
            <w:tcW w:w="3330" w:type="dxa"/>
          </w:tcPr>
          <w:p w:rsidR="00714867" w:rsidRPr="00DE4A74" w:rsidRDefault="00714867" w:rsidP="00300468">
            <w:pPr>
              <w:jc w:val="center"/>
              <w:rPr>
                <w:rFonts w:ascii="Times New Roman" w:hAnsi="Times New Roman"/>
              </w:rPr>
            </w:pPr>
            <w:r w:rsidRPr="00DE4A74">
              <w:rPr>
                <w:rFonts w:ascii="Times New Roman" w:hAnsi="Times New Roman"/>
              </w:rPr>
              <w:t>40</w:t>
            </w:r>
          </w:p>
        </w:tc>
      </w:tr>
      <w:tr w:rsidR="00714867" w:rsidRPr="009D6F64" w:rsidTr="004576FB">
        <w:tc>
          <w:tcPr>
            <w:tcW w:w="2718" w:type="dxa"/>
          </w:tcPr>
          <w:p w:rsidR="00714867" w:rsidRPr="00DE4A74" w:rsidRDefault="00714867" w:rsidP="00300468">
            <w:pPr>
              <w:jc w:val="both"/>
              <w:rPr>
                <w:rFonts w:ascii="Times New Roman" w:hAnsi="Times New Roman"/>
              </w:rPr>
            </w:pPr>
            <w:r w:rsidRPr="00DE4A74">
              <w:rPr>
                <w:rFonts w:ascii="Times New Roman" w:hAnsi="Times New Roman"/>
              </w:rPr>
              <w:t>E</w:t>
            </w:r>
          </w:p>
        </w:tc>
        <w:tc>
          <w:tcPr>
            <w:tcW w:w="3420" w:type="dxa"/>
          </w:tcPr>
          <w:p w:rsidR="00714867" w:rsidRPr="00DE4A74" w:rsidRDefault="00714867" w:rsidP="00300468">
            <w:pPr>
              <w:jc w:val="center"/>
              <w:rPr>
                <w:rFonts w:ascii="Times New Roman" w:hAnsi="Times New Roman"/>
              </w:rPr>
            </w:pPr>
            <w:r w:rsidRPr="00DE4A74">
              <w:rPr>
                <w:rFonts w:ascii="Times New Roman" w:hAnsi="Times New Roman"/>
              </w:rPr>
              <w:t>75</w:t>
            </w:r>
          </w:p>
        </w:tc>
        <w:tc>
          <w:tcPr>
            <w:tcW w:w="3330" w:type="dxa"/>
          </w:tcPr>
          <w:p w:rsidR="00714867" w:rsidRPr="00DE4A74" w:rsidRDefault="00714867" w:rsidP="00300468">
            <w:pPr>
              <w:jc w:val="center"/>
              <w:rPr>
                <w:rFonts w:ascii="Times New Roman" w:hAnsi="Times New Roman"/>
              </w:rPr>
            </w:pPr>
            <w:r w:rsidRPr="00DE4A74">
              <w:rPr>
                <w:rFonts w:ascii="Times New Roman" w:hAnsi="Times New Roman"/>
              </w:rPr>
              <w:t>25</w:t>
            </w:r>
          </w:p>
        </w:tc>
      </w:tr>
      <w:tr w:rsidR="00714867" w:rsidRPr="009D6F64" w:rsidTr="004576FB">
        <w:tc>
          <w:tcPr>
            <w:tcW w:w="2718" w:type="dxa"/>
          </w:tcPr>
          <w:p w:rsidR="00714867" w:rsidRPr="00DE4A74" w:rsidRDefault="00714867" w:rsidP="00300468">
            <w:pPr>
              <w:jc w:val="both"/>
              <w:rPr>
                <w:rFonts w:ascii="Times New Roman" w:hAnsi="Times New Roman"/>
              </w:rPr>
            </w:pPr>
            <w:r w:rsidRPr="00DE4A74">
              <w:rPr>
                <w:rFonts w:ascii="Times New Roman" w:hAnsi="Times New Roman"/>
              </w:rPr>
              <w:t>F</w:t>
            </w:r>
          </w:p>
        </w:tc>
        <w:tc>
          <w:tcPr>
            <w:tcW w:w="3420" w:type="dxa"/>
          </w:tcPr>
          <w:p w:rsidR="00714867" w:rsidRPr="00DE4A74" w:rsidRDefault="00714867" w:rsidP="00300468">
            <w:pPr>
              <w:jc w:val="center"/>
              <w:rPr>
                <w:rFonts w:ascii="Times New Roman" w:hAnsi="Times New Roman"/>
              </w:rPr>
            </w:pPr>
            <w:r w:rsidRPr="00DE4A74">
              <w:rPr>
                <w:rFonts w:ascii="Times New Roman" w:hAnsi="Times New Roman"/>
              </w:rPr>
              <w:t>100</w:t>
            </w:r>
          </w:p>
        </w:tc>
        <w:tc>
          <w:tcPr>
            <w:tcW w:w="3330" w:type="dxa"/>
          </w:tcPr>
          <w:p w:rsidR="00714867" w:rsidRPr="00DE4A74" w:rsidRDefault="00714867" w:rsidP="00300468">
            <w:pPr>
              <w:jc w:val="center"/>
              <w:rPr>
                <w:rFonts w:ascii="Times New Roman" w:hAnsi="Times New Roman"/>
              </w:rPr>
            </w:pPr>
            <w:r w:rsidRPr="00DE4A74">
              <w:rPr>
                <w:rFonts w:ascii="Times New Roman" w:hAnsi="Times New Roman"/>
              </w:rPr>
              <w:t>0</w:t>
            </w:r>
          </w:p>
        </w:tc>
      </w:tr>
    </w:tbl>
    <w:p w:rsidR="009D6F64" w:rsidRDefault="009D6F64" w:rsidP="00714867">
      <w:pPr>
        <w:spacing w:line="240" w:lineRule="auto"/>
        <w:jc w:val="both"/>
        <w:rPr>
          <w:rFonts w:ascii="Times New Roman" w:hAnsi="Times New Roman"/>
          <w:i/>
        </w:rPr>
      </w:pPr>
    </w:p>
    <w:p w:rsidR="00714867" w:rsidRPr="009D6F64" w:rsidRDefault="009D6F64" w:rsidP="00714867">
      <w:pPr>
        <w:spacing w:line="240" w:lineRule="auto"/>
        <w:jc w:val="both"/>
        <w:rPr>
          <w:rFonts w:ascii="Times New Roman" w:hAnsi="Times New Roman"/>
          <w:i/>
        </w:rPr>
      </w:pPr>
      <w:r>
        <w:rPr>
          <w:rFonts w:ascii="Times New Roman" w:hAnsi="Times New Roman"/>
          <w:i/>
        </w:rPr>
        <w:t>2.2.</w:t>
      </w:r>
      <w:r w:rsidR="00714867" w:rsidRPr="009D6F64">
        <w:rPr>
          <w:rFonts w:ascii="Times New Roman" w:hAnsi="Times New Roman"/>
          <w:i/>
        </w:rPr>
        <w:t xml:space="preserve"> Substrate parameters</w:t>
      </w:r>
    </w:p>
    <w:p w:rsidR="00714867" w:rsidRPr="009D6F64" w:rsidRDefault="00714867" w:rsidP="00714867">
      <w:pPr>
        <w:spacing w:line="240" w:lineRule="auto"/>
        <w:jc w:val="both"/>
        <w:rPr>
          <w:rFonts w:ascii="Times New Roman" w:hAnsi="Times New Roman"/>
        </w:rPr>
      </w:pPr>
      <w:r w:rsidRPr="009D6F64">
        <w:rPr>
          <w:rFonts w:ascii="Times New Roman" w:hAnsi="Times New Roman"/>
        </w:rPr>
        <w:t>Before mixing the substrates, the following parameters for the substrates were determined, pH, total solids (TS), volatile solids (VS), ammonia-nitrogen (NH</w:t>
      </w:r>
      <w:r w:rsidRPr="009D6F64">
        <w:rPr>
          <w:rFonts w:ascii="Times New Roman" w:hAnsi="Times New Roman"/>
          <w:vertAlign w:val="subscript"/>
        </w:rPr>
        <w:t xml:space="preserve">4 </w:t>
      </w:r>
      <w:r w:rsidRPr="009D6F64">
        <w:rPr>
          <w:rFonts w:ascii="Times New Roman" w:hAnsi="Times New Roman"/>
        </w:rPr>
        <w:t xml:space="preserve">- N), total alkalinity (TA), temperature (T) and caloric value (CV). All the analytical determinations were performed according to the standard methods for examination of water and waste water (ALPHA, 2005). The temperature of slurry was measured by type-K thermocouple, while the digital pH meter measured the influent and effluent </w:t>
      </w:r>
      <w:proofErr w:type="spellStart"/>
      <w:r w:rsidRPr="009D6F64">
        <w:rPr>
          <w:rFonts w:ascii="Times New Roman" w:hAnsi="Times New Roman"/>
        </w:rPr>
        <w:t>pH.</w:t>
      </w:r>
      <w:proofErr w:type="spellEnd"/>
      <w:r w:rsidRPr="009D6F64">
        <w:rPr>
          <w:rFonts w:ascii="Times New Roman" w:hAnsi="Times New Roman"/>
        </w:rPr>
        <w:t xml:space="preserve"> </w:t>
      </w:r>
    </w:p>
    <w:p w:rsidR="00714867" w:rsidRPr="009D6F64" w:rsidRDefault="009D6F64" w:rsidP="00714867">
      <w:pPr>
        <w:spacing w:line="240" w:lineRule="auto"/>
        <w:jc w:val="both"/>
        <w:rPr>
          <w:rFonts w:ascii="Times New Roman" w:hAnsi="Times New Roman"/>
          <w:i/>
        </w:rPr>
      </w:pPr>
      <w:r>
        <w:rPr>
          <w:rFonts w:ascii="Times New Roman" w:hAnsi="Times New Roman"/>
          <w:i/>
        </w:rPr>
        <w:t>2.</w:t>
      </w:r>
      <w:r w:rsidR="00D77FCD">
        <w:rPr>
          <w:rFonts w:ascii="Times New Roman" w:hAnsi="Times New Roman"/>
          <w:i/>
        </w:rPr>
        <w:t>3</w:t>
      </w:r>
      <w:r w:rsidR="00714867" w:rsidRPr="009D6F64">
        <w:rPr>
          <w:rFonts w:ascii="Times New Roman" w:hAnsi="Times New Roman"/>
          <w:i/>
        </w:rPr>
        <w:t>. Biogas analysis</w:t>
      </w:r>
    </w:p>
    <w:p w:rsidR="008A54AA" w:rsidRDefault="009A0786" w:rsidP="008A54AA">
      <w:pPr>
        <w:spacing w:line="240" w:lineRule="auto"/>
        <w:jc w:val="both"/>
        <w:rPr>
          <w:rFonts w:ascii="Times New Roman" w:hAnsi="Times New Roman"/>
        </w:rPr>
      </w:pPr>
      <w:r w:rsidRPr="009A0786">
        <w:rPr>
          <w:rFonts w:ascii="Times New Roman" w:hAnsi="Times New Roman"/>
          <w:b/>
          <w:noProof/>
        </w:rPr>
        <w:pict>
          <v:group id="_x0000_s1145" style="position:absolute;left:0;text-align:left;margin-left:-33.3pt;margin-top:56.75pt;width:520.9pt;height:216.5pt;z-index:251686912" coordorigin="895,2251" coordsize="10284,4330">
            <v:shapetype id="_x0000_t202" coordsize="21600,21600" o:spt="202" path="m,l,21600r21600,l21600,xe">
              <v:stroke joinstyle="miter"/>
              <v:path gradientshapeok="t" o:connecttype="rect"/>
            </v:shapetype>
            <v:shape id="_x0000_s1029" type="#_x0000_t202" style="position:absolute;left:9777;top:4926;width:1402;height:470" o:regroupid="1" stroked="f">
              <v:textbox style="mso-next-textbox:#_x0000_s1029">
                <w:txbxContent>
                  <w:p w:rsidR="00714867" w:rsidRDefault="00714867" w:rsidP="00714867">
                    <w:r>
                      <w:t>CO</w:t>
                    </w:r>
                    <w:r w:rsidRPr="00D47C7D">
                      <w:rPr>
                        <w:vertAlign w:val="subscript"/>
                      </w:rPr>
                      <w:t xml:space="preserve">2 </w:t>
                    </w:r>
                    <w:r w:rsidRPr="00BC7B44">
                      <w:rPr>
                        <w:rFonts w:ascii="Times New Roman" w:hAnsi="Times New Roman"/>
                      </w:rPr>
                      <w:t>sensor</w:t>
                    </w:r>
                  </w:p>
                </w:txbxContent>
              </v:textbox>
            </v:shape>
            <v:shape id="_x0000_s1031" type="#_x0000_t202" style="position:absolute;left:1186;top:4775;width:1172;height:418" o:regroupid="1" stroked="f">
              <v:textbox style="mso-next-textbox:#_x0000_s1031">
                <w:txbxContent>
                  <w:p w:rsidR="00714867" w:rsidRDefault="00714867" w:rsidP="00714867">
                    <w:r>
                      <w:t xml:space="preserve">Gas </w:t>
                    </w:r>
                    <w:r w:rsidRPr="00BC7B44">
                      <w:rPr>
                        <w:rFonts w:ascii="Times New Roman" w:hAnsi="Times New Roman"/>
                      </w:rPr>
                      <w:t>pump</w:t>
                    </w:r>
                  </w:p>
                </w:txbxContent>
              </v:textbox>
            </v:shape>
            <v:shape id="_x0000_s1032" type="#_x0000_t202" style="position:absolute;left:1186;top:5193;width:1172;height:472" o:regroupid="1" stroked="f">
              <v:textbox style="mso-next-textbox:#_x0000_s1032">
                <w:txbxContent>
                  <w:p w:rsidR="00714867" w:rsidRPr="004066BD" w:rsidRDefault="00714867" w:rsidP="00714867">
                    <w:pPr>
                      <w:rPr>
                        <w:rFonts w:ascii="Times New Roman" w:hAnsi="Times New Roman"/>
                      </w:rPr>
                    </w:pPr>
                    <w:r w:rsidRPr="004066BD">
                      <w:rPr>
                        <w:rFonts w:ascii="Times New Roman" w:hAnsi="Times New Roman"/>
                      </w:rPr>
                      <w:t>H</w:t>
                    </w:r>
                    <w:r w:rsidRPr="004066BD">
                      <w:rPr>
                        <w:rFonts w:ascii="Times New Roman" w:hAnsi="Times New Roman"/>
                        <w:vertAlign w:val="subscript"/>
                      </w:rPr>
                      <w:t>2</w:t>
                    </w:r>
                    <w:r w:rsidRPr="004066BD">
                      <w:rPr>
                        <w:rFonts w:ascii="Times New Roman" w:hAnsi="Times New Roman"/>
                      </w:rPr>
                      <w:t xml:space="preserve"> sensor</w:t>
                    </w:r>
                  </w:p>
                  <w:p w:rsidR="00714867" w:rsidRDefault="00714867" w:rsidP="00714867"/>
                </w:txbxContent>
              </v:textbox>
            </v:shape>
            <v:shape id="_x0000_s1033" type="#_x0000_t202" style="position:absolute;left:895;top:4067;width:1463;height:705" o:regroupid="1" stroked="f">
              <v:textbox style="mso-next-textbox:#_x0000_s1033">
                <w:txbxContent>
                  <w:p w:rsidR="00714867" w:rsidRPr="00BC7B44" w:rsidRDefault="00714867" w:rsidP="00714867">
                    <w:pPr>
                      <w:pStyle w:val="NoSpacing"/>
                      <w:rPr>
                        <w:b w:val="0"/>
                      </w:rPr>
                    </w:pPr>
                    <w:r w:rsidRPr="00BC7B44">
                      <w:rPr>
                        <w:b w:val="0"/>
                      </w:rPr>
                      <w:t xml:space="preserve">Hydrophobic </w:t>
                    </w:r>
                  </w:p>
                  <w:p w:rsidR="00714867" w:rsidRPr="00BC7B44" w:rsidRDefault="00714867" w:rsidP="00714867">
                    <w:pPr>
                      <w:pStyle w:val="NoSpacing"/>
                      <w:rPr>
                        <w:b w:val="0"/>
                      </w:rPr>
                    </w:pPr>
                    <w:r w:rsidRPr="00BC7B44">
                      <w:rPr>
                        <w:b w:val="0"/>
                      </w:rPr>
                      <w:t>Filter</w:t>
                    </w:r>
                  </w:p>
                </w:txbxContent>
              </v:textbox>
            </v:shape>
            <v:shape id="_x0000_s1034" type="#_x0000_t202" style="position:absolute;left:9705;top:4332;width:1415;height:440" o:regroupid="1" stroked="f">
              <v:textbox style="mso-next-textbox:#_x0000_s1034">
                <w:txbxContent>
                  <w:p w:rsidR="00714867" w:rsidRPr="00BC7B44" w:rsidRDefault="00714867" w:rsidP="00714867">
                    <w:pPr>
                      <w:rPr>
                        <w:rFonts w:ascii="Times New Roman" w:hAnsi="Times New Roman"/>
                      </w:rPr>
                    </w:pPr>
                    <w:r>
                      <w:rPr>
                        <w:rFonts w:ascii="Times New Roman" w:hAnsi="Times New Roman"/>
                      </w:rPr>
                      <w:t>Flow</w:t>
                    </w:r>
                    <w:r w:rsidRPr="00BC7B44">
                      <w:rPr>
                        <w:rFonts w:ascii="Times New Roman" w:hAnsi="Times New Roman"/>
                      </w:rPr>
                      <w:t xml:space="preserve"> meter </w:t>
                    </w:r>
                  </w:p>
                </w:txbxContent>
              </v:textbox>
            </v:shape>
            <v:shape id="_x0000_s1035" type="#_x0000_t202" style="position:absolute;left:9705;top:3914;width:1054;height:485" o:regroupid="1" stroked="f">
              <v:textbox style="mso-next-textbox:#_x0000_s1035">
                <w:txbxContent>
                  <w:p w:rsidR="00714867" w:rsidRPr="00BC7B44" w:rsidRDefault="00714867" w:rsidP="00714867">
                    <w:pPr>
                      <w:rPr>
                        <w:rFonts w:ascii="Times New Roman" w:hAnsi="Times New Roman"/>
                      </w:rPr>
                    </w:pPr>
                    <w:r w:rsidRPr="00DB5AA6">
                      <w:rPr>
                        <w:rFonts w:ascii="Times New Roman" w:hAnsi="Times New Roman"/>
                      </w:rPr>
                      <w:t>Laptop</w:t>
                    </w:r>
                  </w:p>
                </w:txbxContent>
              </v:textbox>
            </v:shape>
            <v:shape id="_x0000_s1036" type="#_x0000_t202" style="position:absolute;left:1319;top:5821;width:1222;height:760" o:regroupid="1" stroked="f">
              <v:textbox style="mso-next-textbox:#_x0000_s1036">
                <w:txbxContent>
                  <w:p w:rsidR="00714867" w:rsidRDefault="00714867" w:rsidP="00714867">
                    <w:r w:rsidRPr="00BC7B44">
                      <w:rPr>
                        <w:rFonts w:ascii="Times New Roman" w:hAnsi="Times New Roman"/>
                      </w:rPr>
                      <w:t>Data</w:t>
                    </w:r>
                    <w:r>
                      <w:t xml:space="preserve"> </w:t>
                    </w:r>
                    <w:r w:rsidRPr="00BC7B44">
                      <w:rPr>
                        <w:rFonts w:ascii="Times New Roman" w:hAnsi="Times New Roman"/>
                      </w:rPr>
                      <w:t>logger</w:t>
                    </w:r>
                  </w:p>
                </w:txbxContent>
              </v:textbox>
            </v:shape>
            <v:shape id="_x0000_s1037" type="#_x0000_t202" style="position:absolute;left:9777;top:4649;width:1241;height:420" o:regroupid="1" stroked="f">
              <v:textbox style="mso-next-textbox:#_x0000_s1037">
                <w:txbxContent>
                  <w:p w:rsidR="00714867" w:rsidRDefault="00714867" w:rsidP="00714867">
                    <w:r w:rsidRPr="00122998">
                      <w:rPr>
                        <w:rFonts w:ascii="Times New Roman" w:hAnsi="Times New Roman"/>
                      </w:rPr>
                      <w:t xml:space="preserve">12V </w:t>
                    </w:r>
                    <w:r w:rsidRPr="00BC7B44">
                      <w:rPr>
                        <w:rFonts w:ascii="Times New Roman" w:hAnsi="Times New Roman"/>
                      </w:rPr>
                      <w:t>battery</w:t>
                    </w:r>
                  </w:p>
                </w:txbxContent>
              </v:textbox>
            </v:shape>
            <v:shape id="_x0000_s1038" type="#_x0000_t202" style="position:absolute;left:5288;top:2251;width:944;height:447" o:regroupid="1" stroked="f">
              <v:textbox style="mso-next-textbox:#_x0000_s1038">
                <w:txbxContent>
                  <w:p w:rsidR="00714867" w:rsidRDefault="00714867" w:rsidP="00714867">
                    <w:r w:rsidRPr="00CC288F">
                      <w:rPr>
                        <w:rFonts w:ascii="Times New Roman" w:hAnsi="Times New Roman"/>
                      </w:rPr>
                      <w:t>H</w:t>
                    </w:r>
                    <w:r w:rsidRPr="00CC288F">
                      <w:rPr>
                        <w:rFonts w:ascii="Times New Roman" w:hAnsi="Times New Roman"/>
                        <w:vertAlign w:val="subscript"/>
                      </w:rPr>
                      <w:t>2</w:t>
                    </w:r>
                    <w:r>
                      <w:rPr>
                        <w:rFonts w:ascii="Times New Roman" w:hAnsi="Times New Roman"/>
                      </w:rPr>
                      <w:t>S</w:t>
                    </w:r>
                    <w:r>
                      <w:t xml:space="preserve"> </w:t>
                    </w:r>
                    <w:r w:rsidRPr="00BC7B44">
                      <w:rPr>
                        <w:rFonts w:ascii="Times New Roman" w:hAnsi="Times New Roman"/>
                      </w:rPr>
                      <w:t>sensor</w:t>
                    </w:r>
                  </w:p>
                </w:txbxContent>
              </v:textbox>
            </v:shape>
            <v:shape id="_x0000_s1039" type="#_x0000_t202" style="position:absolute;left:9777;top:5288;width:1241;height:377" o:regroupid="1" stroked="f">
              <v:textbox style="mso-next-textbox:#_x0000_s1039">
                <w:txbxContent>
                  <w:p w:rsidR="00714867" w:rsidRPr="00BC7B44" w:rsidRDefault="00714867" w:rsidP="00714867">
                    <w:pPr>
                      <w:rPr>
                        <w:rFonts w:ascii="Times New Roman" w:hAnsi="Times New Roman"/>
                      </w:rPr>
                    </w:pPr>
                    <w:r w:rsidRPr="00BC7B44">
                      <w:rPr>
                        <w:rFonts w:ascii="Times New Roman" w:hAnsi="Times New Roman"/>
                      </w:rPr>
                      <w:t>CH</w:t>
                    </w:r>
                    <w:r w:rsidRPr="00BC7B44">
                      <w:rPr>
                        <w:rFonts w:ascii="Times New Roman" w:hAnsi="Times New Roman"/>
                        <w:vertAlign w:val="subscript"/>
                      </w:rPr>
                      <w:t>4</w:t>
                    </w:r>
                    <w:r w:rsidRPr="00BC7B44">
                      <w:rPr>
                        <w:rFonts w:ascii="Times New Roman" w:hAnsi="Times New Roman"/>
                      </w:rPr>
                      <w:t xml:space="preserve"> sensor</w:t>
                    </w:r>
                  </w:p>
                </w:txbxContent>
              </v:textbox>
            </v:shape>
            <v:shapetype id="_x0000_t32" coordsize="21600,21600" o:spt="32" o:oned="t" path="m,l21600,21600e" filled="f">
              <v:path arrowok="t" fillok="f" o:connecttype="none"/>
              <o:lock v:ext="edit" shapetype="t"/>
            </v:shapetype>
            <v:shape id="_x0000_s1040" type="#_x0000_t32" style="position:absolute;left:2541;top:6026;width:1694;height:61;flip:y" o:connectortype="straight" o:regroupid="1" strokecolor="red">
              <v:stroke endarrow="block"/>
            </v:shape>
            <v:shape id="_x0000_s1041" type="#_x0000_t32" style="position:absolute;left:2442;top:5470;width:852;height:1" o:connectortype="straight" o:regroupid="1" strokecolor="red">
              <v:stroke endarrow="block"/>
            </v:shape>
            <v:shape id="_x0000_s1042" type="#_x0000_t32" style="position:absolute;left:2442;top:4925;width:688;height:1" o:connectortype="straight" o:regroupid="1" strokecolor="red">
              <v:stroke endarrow="block"/>
            </v:shape>
            <v:shape id="_x0000_s1043" type="#_x0000_t32" style="position:absolute;left:2442;top:4514;width:1298;height:1" o:connectortype="straight" o:regroupid="1" strokecolor="red">
              <v:stroke endarrow="block"/>
            </v:shape>
            <v:shape id="_x0000_s1044" type="#_x0000_t32" style="position:absolute;left:8714;top:4200;width:991;height:1;flip:x" o:connectortype="straight" o:regroupid="1" strokecolor="red">
              <v:stroke endarrow="block"/>
            </v:shape>
            <v:shape id="_x0000_s1045" type="#_x0000_t32" style="position:absolute;left:6571;top:4586;width:3206;height:1;flip:x" o:connectortype="straight" o:regroupid="1" strokecolor="red">
              <v:stroke endarrow="block"/>
            </v:shape>
            <v:shape id="_x0000_s1046" type="#_x0000_t32" style="position:absolute;left:5759;top:5371;width:4018;height:99;flip:x y" o:connectortype="straight" o:regroupid="1" strokecolor="red">
              <v:stroke endarrow="block"/>
            </v:shape>
            <v:shape id="_x0000_s1047" type="#_x0000_t32" style="position:absolute;left:7310;top:4925;width:2395;height:0;flip:x" o:connectortype="straight" o:regroupid="1" strokecolor="red">
              <v:stroke endarrow="block"/>
            </v:shape>
            <v:shape id="_x0000_s1048" type="#_x0000_t32" style="position:absolute;left:5904;top:5094;width:3873;height:99;flip:x y" o:connectortype="straight" o:regroupid="1" strokecolor="red">
              <v:stroke endarrow="block"/>
            </v:shape>
            <v:shape id="_x0000_s1049" type="#_x0000_t32" style="position:absolute;left:5673;top:2610;width:1;height:1722" o:connectortype="straight" o:regroupid="1" strokecolor="red">
              <v:stroke endarrow="block"/>
            </v:shape>
            <v:shape id="_x0000_s1050" type="#_x0000_t32" style="position:absolute;left:2118;top:3473;width:849;height:0" o:connectortype="straight" o:regroupid="1" strokecolor="red">
              <v:stroke endarrow="block"/>
            </v:shape>
            <v:shape id="_x0000_s1051" type="#_x0000_t202" style="position:absolute;left:1073;top:3255;width:1207;height:448" o:regroupid="1" stroked="f">
              <v:textbox style="mso-next-textbox:#_x0000_s1051">
                <w:txbxContent>
                  <w:p w:rsidR="00714867" w:rsidRPr="00FB421B" w:rsidRDefault="00714867" w:rsidP="00714867">
                    <w:pPr>
                      <w:rPr>
                        <w:rFonts w:ascii="Times New Roman" w:hAnsi="Times New Roman"/>
                      </w:rPr>
                    </w:pPr>
                    <w:r w:rsidRPr="00FB421B">
                      <w:rPr>
                        <w:rFonts w:ascii="Times New Roman" w:hAnsi="Times New Roman"/>
                      </w:rPr>
                      <w:t>Biogas tube</w:t>
                    </w:r>
                  </w:p>
                </w:txbxContent>
              </v:textbox>
            </v:shape>
          </v:group>
        </w:pict>
      </w:r>
      <w:r w:rsidR="00714867" w:rsidRPr="009D6F64">
        <w:rPr>
          <w:rFonts w:ascii="Times New Roman" w:hAnsi="Times New Roman"/>
        </w:rPr>
        <w:t xml:space="preserve">The biogas composition was </w:t>
      </w:r>
      <w:proofErr w:type="spellStart"/>
      <w:r w:rsidR="00714867" w:rsidRPr="009D6F64">
        <w:rPr>
          <w:rFonts w:ascii="Times New Roman" w:hAnsi="Times New Roman"/>
        </w:rPr>
        <w:t>analysed</w:t>
      </w:r>
      <w:proofErr w:type="spellEnd"/>
      <w:r w:rsidR="00714867" w:rsidRPr="009D6F64">
        <w:rPr>
          <w:rFonts w:ascii="Times New Roman" w:hAnsi="Times New Roman"/>
        </w:rPr>
        <w:t xml:space="preserve"> by the biogas </w:t>
      </w:r>
      <w:proofErr w:type="spellStart"/>
      <w:r w:rsidR="00714867" w:rsidRPr="009D6F64">
        <w:rPr>
          <w:rFonts w:ascii="Times New Roman" w:hAnsi="Times New Roman"/>
        </w:rPr>
        <w:t>analyser</w:t>
      </w:r>
      <w:proofErr w:type="spellEnd"/>
      <w:r w:rsidR="00714867" w:rsidRPr="009D6F64">
        <w:rPr>
          <w:rFonts w:ascii="Times New Roman" w:hAnsi="Times New Roman"/>
        </w:rPr>
        <w:t xml:space="preserve">. The biogas </w:t>
      </w:r>
      <w:proofErr w:type="spellStart"/>
      <w:r w:rsidR="00714867" w:rsidRPr="009D6F64">
        <w:rPr>
          <w:rFonts w:ascii="Times New Roman" w:hAnsi="Times New Roman"/>
        </w:rPr>
        <w:t>analyser</w:t>
      </w:r>
      <w:proofErr w:type="spellEnd"/>
      <w:r w:rsidR="00714867" w:rsidRPr="009D6F64">
        <w:rPr>
          <w:rFonts w:ascii="Times New Roman" w:hAnsi="Times New Roman"/>
        </w:rPr>
        <w:t xml:space="preserve"> co</w:t>
      </w:r>
      <w:r w:rsidR="00EF7ACE">
        <w:rPr>
          <w:rFonts w:ascii="Times New Roman" w:hAnsi="Times New Roman"/>
        </w:rPr>
        <w:t>nsisted of Non-Dispersive Infra</w:t>
      </w:r>
      <w:r w:rsidR="00714867" w:rsidRPr="009D6F64">
        <w:rPr>
          <w:rFonts w:ascii="Times New Roman" w:hAnsi="Times New Roman"/>
        </w:rPr>
        <w:t xml:space="preserve">red sensor for sensing methane and carbon dioxide and Palladium/Nickel sensor for sensing hydrogen and hydrogen </w:t>
      </w:r>
      <w:proofErr w:type="spellStart"/>
      <w:r w:rsidR="00714867" w:rsidRPr="009D6F64">
        <w:rPr>
          <w:rFonts w:ascii="Times New Roman" w:hAnsi="Times New Roman"/>
        </w:rPr>
        <w:t>sulphide</w:t>
      </w:r>
      <w:proofErr w:type="spellEnd"/>
      <w:r w:rsidR="00714867" w:rsidRPr="009D6F64">
        <w:rPr>
          <w:rFonts w:ascii="Times New Roman" w:hAnsi="Times New Roman"/>
        </w:rPr>
        <w:t xml:space="preserve">. </w:t>
      </w:r>
      <w:r w:rsidR="00747CC9" w:rsidRPr="009D6F64">
        <w:rPr>
          <w:rFonts w:ascii="Times New Roman" w:hAnsi="Times New Roman"/>
        </w:rPr>
        <w:t xml:space="preserve"> </w:t>
      </w:r>
      <w:r w:rsidR="00747CC9" w:rsidRPr="009D6F64">
        <w:rPr>
          <w:rStyle w:val="normalchar1"/>
          <w:rFonts w:ascii="Times New Roman" w:hAnsi="Times New Roman" w:cs="Times New Roman"/>
          <w:color w:val="0E0E0E"/>
        </w:rPr>
        <w:t xml:space="preserve">Figure 1 shows the biogas data acquisition system that includes a biogas </w:t>
      </w:r>
      <w:proofErr w:type="spellStart"/>
      <w:r w:rsidR="00747CC9" w:rsidRPr="009D6F64">
        <w:rPr>
          <w:rStyle w:val="normalchar1"/>
          <w:rFonts w:ascii="Times New Roman" w:hAnsi="Times New Roman" w:cs="Times New Roman"/>
          <w:color w:val="0E0E0E"/>
        </w:rPr>
        <w:t>analyser</w:t>
      </w:r>
      <w:proofErr w:type="spellEnd"/>
      <w:r w:rsidR="00747CC9" w:rsidRPr="009D6F64">
        <w:rPr>
          <w:rStyle w:val="normalchar1"/>
          <w:rFonts w:ascii="Times New Roman" w:hAnsi="Times New Roman" w:cs="Times New Roman"/>
          <w:color w:val="0E0E0E"/>
        </w:rPr>
        <w:t>.</w:t>
      </w:r>
      <w:r w:rsidR="00747CC9" w:rsidRPr="009D6F64">
        <w:rPr>
          <w:rFonts w:ascii="Times New Roman" w:hAnsi="Times New Roman"/>
        </w:rPr>
        <w:t xml:space="preserve"> </w:t>
      </w:r>
    </w:p>
    <w:p w:rsidR="008A54AA" w:rsidRDefault="008A54AA" w:rsidP="008A54AA">
      <w:pPr>
        <w:spacing w:line="240" w:lineRule="auto"/>
        <w:jc w:val="both"/>
        <w:rPr>
          <w:rFonts w:ascii="Times New Roman" w:hAnsi="Times New Roman"/>
        </w:rPr>
      </w:pPr>
    </w:p>
    <w:p w:rsidR="008A54AA" w:rsidRDefault="009A0786" w:rsidP="00DE4A74">
      <w:pPr>
        <w:spacing w:line="240" w:lineRule="auto"/>
        <w:jc w:val="center"/>
        <w:rPr>
          <w:rFonts w:ascii="Times New Roman" w:hAnsi="Times New Roman"/>
          <w:b/>
        </w:rPr>
      </w:pPr>
      <w:r w:rsidRPr="009A0786">
        <w:rPr>
          <w:rFonts w:ascii="Times New Roman" w:hAnsi="Times New Roman"/>
          <w:noProof/>
        </w:rPr>
        <w:pict>
          <v:shape id="_x0000_s1030" type="#_x0000_t202" style="position:absolute;left:0;text-align:left;margin-left:26pt;margin-top:194pt;width:335.9pt;height:23.15pt;z-index:251664384" o:regroupid="1" stroked="f">
            <v:textbox style="mso-next-textbox:#_x0000_s1030">
              <w:txbxContent>
                <w:p w:rsidR="00714867" w:rsidRPr="00BB5431" w:rsidRDefault="00C4698C" w:rsidP="008A54AA">
                  <w:pPr>
                    <w:jc w:val="center"/>
                    <w:rPr>
                      <w:rFonts w:ascii="Times New Roman" w:hAnsi="Times New Roman"/>
                    </w:rPr>
                  </w:pPr>
                  <w:proofErr w:type="gramStart"/>
                  <w:r>
                    <w:rPr>
                      <w:rFonts w:ascii="Times New Roman" w:hAnsi="Times New Roman"/>
                      <w:b/>
                    </w:rPr>
                    <w:t>Figure 1</w:t>
                  </w:r>
                  <w:r w:rsidR="00714867">
                    <w:rPr>
                      <w:rFonts w:ascii="Times New Roman" w:hAnsi="Times New Roman"/>
                      <w:b/>
                    </w:rPr>
                    <w:t>.</w:t>
                  </w:r>
                  <w:proofErr w:type="gramEnd"/>
                  <w:r w:rsidR="00714867">
                    <w:rPr>
                      <w:rFonts w:ascii="Times New Roman" w:hAnsi="Times New Roman"/>
                    </w:rPr>
                    <w:t xml:space="preserve"> The data acquisition system</w:t>
                  </w:r>
                </w:p>
              </w:txbxContent>
            </v:textbox>
          </v:shape>
        </w:pict>
      </w:r>
      <w:r w:rsidR="008A54AA" w:rsidRPr="009D6F64">
        <w:rPr>
          <w:rFonts w:ascii="Times New Roman" w:hAnsi="Times New Roman"/>
          <w:b/>
          <w:noProof/>
        </w:rPr>
        <w:drawing>
          <wp:inline distT="0" distB="0" distL="0" distR="0">
            <wp:extent cx="4190359" cy="2382050"/>
            <wp:effectExtent l="19050" t="0" r="641" b="0"/>
            <wp:docPr id="11" name="Picture 4" descr="H:\IMAGE000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MAGE000665.jpg"/>
                    <pic:cNvPicPr>
                      <a:picLocks noChangeAspect="1" noChangeArrowheads="1"/>
                    </pic:cNvPicPr>
                  </pic:nvPicPr>
                  <pic:blipFill>
                    <a:blip r:embed="rId5" cstate="print"/>
                    <a:srcRect/>
                    <a:stretch>
                      <a:fillRect/>
                    </a:stretch>
                  </pic:blipFill>
                  <pic:spPr bwMode="auto">
                    <a:xfrm>
                      <a:off x="0" y="0"/>
                      <a:ext cx="4190359" cy="2382050"/>
                    </a:xfrm>
                    <a:prstGeom prst="rect">
                      <a:avLst/>
                    </a:prstGeom>
                    <a:noFill/>
                    <a:ln w="9525">
                      <a:noFill/>
                      <a:miter lim="800000"/>
                      <a:headEnd/>
                      <a:tailEnd/>
                    </a:ln>
                  </pic:spPr>
                </pic:pic>
              </a:graphicData>
            </a:graphic>
          </wp:inline>
        </w:drawing>
      </w:r>
    </w:p>
    <w:p w:rsidR="00747CC9" w:rsidRDefault="008A54AA" w:rsidP="00714867">
      <w:pPr>
        <w:spacing w:line="240" w:lineRule="auto"/>
        <w:jc w:val="both"/>
        <w:rPr>
          <w:rFonts w:ascii="Times New Roman" w:hAnsi="Times New Roman"/>
        </w:rPr>
      </w:pPr>
      <w:r w:rsidRPr="009D6F64">
        <w:rPr>
          <w:rFonts w:ascii="Times New Roman" w:hAnsi="Times New Roman"/>
        </w:rPr>
        <w:t xml:space="preserve">The data for biogas composition was recorded by a CR1000 data logger at a time interval of 2 minutes. The biogas </w:t>
      </w:r>
      <w:proofErr w:type="spellStart"/>
      <w:r w:rsidRPr="009D6F64">
        <w:rPr>
          <w:rFonts w:ascii="Times New Roman" w:hAnsi="Times New Roman"/>
        </w:rPr>
        <w:t>analyser</w:t>
      </w:r>
      <w:proofErr w:type="spellEnd"/>
      <w:r w:rsidRPr="009D6F64">
        <w:rPr>
          <w:rFonts w:ascii="Times New Roman" w:hAnsi="Times New Roman"/>
        </w:rPr>
        <w:t xml:space="preserve"> and the CR1000 data logger were powdered by a 12 V DC battery that was connected to a 20</w:t>
      </w:r>
      <w:r w:rsidR="00D87E49">
        <w:rPr>
          <w:rFonts w:ascii="Times New Roman" w:hAnsi="Times New Roman"/>
        </w:rPr>
        <w:t xml:space="preserve"> </w:t>
      </w:r>
      <w:r w:rsidRPr="009D6F64">
        <w:rPr>
          <w:rFonts w:ascii="Times New Roman" w:hAnsi="Times New Roman"/>
        </w:rPr>
        <w:t>W photovoltaic module. The biogas was carried to the flow meter where the production of the biogas was measured.</w:t>
      </w:r>
      <w:r w:rsidRPr="009D6F64">
        <w:rPr>
          <w:rStyle w:val="normalchar1"/>
          <w:rFonts w:ascii="Times New Roman" w:hAnsi="Times New Roman" w:cs="Times New Roman"/>
          <w:color w:val="0E0E0E"/>
        </w:rPr>
        <w:t xml:space="preserve"> A CR1000 data logger was interfaced to</w:t>
      </w:r>
      <w:r>
        <w:rPr>
          <w:rStyle w:val="normalchar1"/>
          <w:rFonts w:ascii="Times New Roman" w:hAnsi="Times New Roman" w:cs="Times New Roman"/>
          <w:color w:val="0E0E0E"/>
        </w:rPr>
        <w:t xml:space="preserve"> a laptop computer used to down</w:t>
      </w:r>
      <w:r w:rsidRPr="009D6F64">
        <w:rPr>
          <w:rStyle w:val="normalchar1"/>
          <w:rFonts w:ascii="Times New Roman" w:hAnsi="Times New Roman" w:cs="Times New Roman"/>
          <w:color w:val="0E0E0E"/>
        </w:rPr>
        <w:t>load data</w:t>
      </w:r>
      <w:r w:rsidRPr="009D6F64">
        <w:rPr>
          <w:rFonts w:ascii="Times New Roman" w:hAnsi="Times New Roman"/>
        </w:rPr>
        <w:t>. The ambient, biogas, sawdust and slurry temperature sensors were connected to the data logger. The 12V battery was connected to the solar photovoltaic module via the battery regulator. The battery regulator prevented the 12V battery from excessive charging and discharging</w:t>
      </w:r>
      <w:r w:rsidR="00D87E49">
        <w:rPr>
          <w:rFonts w:ascii="Times New Roman" w:hAnsi="Times New Roman"/>
        </w:rPr>
        <w:t>.</w:t>
      </w:r>
    </w:p>
    <w:p w:rsidR="00714867" w:rsidRPr="009D6F64" w:rsidRDefault="00714867" w:rsidP="00714867">
      <w:pPr>
        <w:spacing w:line="240" w:lineRule="auto"/>
        <w:jc w:val="both"/>
        <w:rPr>
          <w:rFonts w:ascii="Times New Roman" w:hAnsi="Times New Roman"/>
          <w:b/>
        </w:rPr>
      </w:pPr>
      <w:r w:rsidRPr="009D6F64">
        <w:rPr>
          <w:rFonts w:ascii="Times New Roman" w:hAnsi="Times New Roman"/>
          <w:b/>
        </w:rPr>
        <w:t>3. Results and discussions</w:t>
      </w:r>
    </w:p>
    <w:p w:rsidR="008801EE" w:rsidRPr="008801EE" w:rsidRDefault="00714867" w:rsidP="00714867">
      <w:pPr>
        <w:spacing w:line="240" w:lineRule="auto"/>
        <w:jc w:val="both"/>
        <w:rPr>
          <w:rFonts w:ascii="Times New Roman" w:hAnsi="Times New Roman"/>
        </w:rPr>
      </w:pPr>
      <w:r w:rsidRPr="009D6F64">
        <w:rPr>
          <w:rFonts w:ascii="Times New Roman" w:hAnsi="Times New Roman"/>
        </w:rPr>
        <w:t xml:space="preserve">Substrate characteristics of the horse dung and goat dung </w:t>
      </w:r>
      <w:r w:rsidR="00DB2A2A" w:rsidRPr="009D6F64">
        <w:rPr>
          <w:rFonts w:ascii="Times New Roman" w:hAnsi="Times New Roman"/>
        </w:rPr>
        <w:t>are shown in Table 2</w:t>
      </w:r>
      <w:r w:rsidRPr="009D6F64">
        <w:rPr>
          <w:rFonts w:ascii="Times New Roman" w:hAnsi="Times New Roman"/>
        </w:rPr>
        <w:t xml:space="preserve">. The horse dung had less volatile solids than the goat dung. The TS/VS ratio of donkey dung was 72.11 and for goat dung was 64.16. </w:t>
      </w:r>
      <w:proofErr w:type="spellStart"/>
      <w:r w:rsidRPr="009D6F64">
        <w:rPr>
          <w:rFonts w:ascii="Times New Roman" w:hAnsi="Times New Roman"/>
        </w:rPr>
        <w:t>Karim</w:t>
      </w:r>
      <w:proofErr w:type="spellEnd"/>
      <w:r w:rsidRPr="009D6F64">
        <w:rPr>
          <w:rFonts w:ascii="Times New Roman" w:hAnsi="Times New Roman"/>
        </w:rPr>
        <w:t xml:space="preserve"> </w:t>
      </w:r>
      <w:r w:rsidRPr="009D6F64">
        <w:rPr>
          <w:rFonts w:ascii="Times New Roman" w:hAnsi="Times New Roman"/>
          <w:i/>
        </w:rPr>
        <w:t>et al.,</w:t>
      </w:r>
      <w:r w:rsidRPr="009D6F64">
        <w:rPr>
          <w:rFonts w:ascii="Times New Roman" w:hAnsi="Times New Roman"/>
        </w:rPr>
        <w:t xml:space="preserve"> 2005</w:t>
      </w:r>
      <w:r w:rsidR="00454D69">
        <w:rPr>
          <w:rFonts w:ascii="Times New Roman" w:hAnsi="Times New Roman"/>
        </w:rPr>
        <w:t>,</w:t>
      </w:r>
      <w:r w:rsidRPr="009D6F64">
        <w:rPr>
          <w:rFonts w:ascii="Times New Roman" w:hAnsi="Times New Roman"/>
        </w:rPr>
        <w:t xml:space="preserve"> found that as the TS/VS ratio is increases, the amount of methane production increases. The goat dung had a higher pH than horse dung.</w:t>
      </w:r>
    </w:p>
    <w:p w:rsidR="00714867" w:rsidRPr="009D6F64" w:rsidRDefault="00714867" w:rsidP="003C0CEE">
      <w:pPr>
        <w:spacing w:line="240" w:lineRule="auto"/>
        <w:rPr>
          <w:rFonts w:ascii="Times New Roman" w:hAnsi="Times New Roman"/>
          <w:b/>
        </w:rPr>
      </w:pPr>
      <w:proofErr w:type="gramStart"/>
      <w:r w:rsidRPr="009D6F64">
        <w:rPr>
          <w:rFonts w:ascii="Times New Roman" w:hAnsi="Times New Roman"/>
          <w:b/>
        </w:rPr>
        <w:t xml:space="preserve">Table </w:t>
      </w:r>
      <w:r w:rsidR="00DB2A2A" w:rsidRPr="009D6F64">
        <w:rPr>
          <w:rFonts w:ascii="Times New Roman" w:hAnsi="Times New Roman"/>
          <w:b/>
        </w:rPr>
        <w:t>2</w:t>
      </w:r>
      <w:r w:rsidRPr="009D6F64">
        <w:rPr>
          <w:rFonts w:ascii="Times New Roman" w:hAnsi="Times New Roman"/>
        </w:rPr>
        <w:t>.</w:t>
      </w:r>
      <w:proofErr w:type="gramEnd"/>
      <w:r w:rsidRPr="009D6F64">
        <w:rPr>
          <w:rFonts w:ascii="Times New Roman" w:hAnsi="Times New Roman"/>
        </w:rPr>
        <w:t xml:space="preserve"> Substrate characteristics for goat and horse dung</w:t>
      </w:r>
    </w:p>
    <w:tbl>
      <w:tblPr>
        <w:tblStyle w:val="TableGrid"/>
        <w:tblW w:w="946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888"/>
        <w:gridCol w:w="3060"/>
        <w:gridCol w:w="2520"/>
      </w:tblGrid>
      <w:tr w:rsidR="00714867" w:rsidRPr="008801EE" w:rsidTr="004576FB">
        <w:tc>
          <w:tcPr>
            <w:tcW w:w="3888" w:type="dxa"/>
            <w:tcBorders>
              <w:top w:val="single" w:sz="4" w:space="0" w:color="auto"/>
              <w:left w:val="nil"/>
              <w:bottom w:val="single" w:sz="4" w:space="0" w:color="auto"/>
            </w:tcBorders>
          </w:tcPr>
          <w:p w:rsidR="00714867" w:rsidRPr="008801EE" w:rsidRDefault="00714867" w:rsidP="003C0CEE">
            <w:pPr>
              <w:jc w:val="both"/>
              <w:rPr>
                <w:rFonts w:ascii="Times New Roman" w:hAnsi="Times New Roman"/>
                <w:b/>
              </w:rPr>
            </w:pPr>
            <w:r w:rsidRPr="008801EE">
              <w:rPr>
                <w:rFonts w:ascii="Times New Roman" w:hAnsi="Times New Roman"/>
                <w:b/>
              </w:rPr>
              <w:t>Parameter</w:t>
            </w:r>
          </w:p>
        </w:tc>
        <w:tc>
          <w:tcPr>
            <w:tcW w:w="3060" w:type="dxa"/>
            <w:tcBorders>
              <w:top w:val="single" w:sz="4" w:space="0" w:color="auto"/>
              <w:bottom w:val="single" w:sz="4" w:space="0" w:color="auto"/>
            </w:tcBorders>
          </w:tcPr>
          <w:p w:rsidR="00714867" w:rsidRPr="008801EE" w:rsidRDefault="00714867" w:rsidP="003C0CEE">
            <w:pPr>
              <w:jc w:val="center"/>
              <w:rPr>
                <w:rFonts w:ascii="Times New Roman" w:hAnsi="Times New Roman"/>
                <w:b/>
              </w:rPr>
            </w:pPr>
            <w:r w:rsidRPr="008801EE">
              <w:rPr>
                <w:rFonts w:ascii="Times New Roman" w:hAnsi="Times New Roman"/>
                <w:b/>
              </w:rPr>
              <w:t>Goat dung</w:t>
            </w:r>
          </w:p>
        </w:tc>
        <w:tc>
          <w:tcPr>
            <w:tcW w:w="2520" w:type="dxa"/>
            <w:tcBorders>
              <w:top w:val="single" w:sz="4" w:space="0" w:color="auto"/>
              <w:bottom w:val="single" w:sz="4" w:space="0" w:color="auto"/>
              <w:right w:val="nil"/>
            </w:tcBorders>
          </w:tcPr>
          <w:p w:rsidR="00714867" w:rsidRPr="008801EE" w:rsidRDefault="00714867" w:rsidP="003C0CEE">
            <w:pPr>
              <w:jc w:val="center"/>
              <w:rPr>
                <w:rFonts w:ascii="Times New Roman" w:hAnsi="Times New Roman"/>
                <w:b/>
              </w:rPr>
            </w:pPr>
            <w:r w:rsidRPr="008801EE">
              <w:rPr>
                <w:rFonts w:ascii="Times New Roman" w:hAnsi="Times New Roman"/>
                <w:b/>
              </w:rPr>
              <w:t>Horse dung</w:t>
            </w:r>
          </w:p>
        </w:tc>
      </w:tr>
      <w:tr w:rsidR="00714867" w:rsidRPr="008801EE" w:rsidTr="004576FB">
        <w:tc>
          <w:tcPr>
            <w:tcW w:w="3888" w:type="dxa"/>
            <w:tcBorders>
              <w:top w:val="single" w:sz="4" w:space="0" w:color="auto"/>
              <w:left w:val="nil"/>
            </w:tcBorders>
          </w:tcPr>
          <w:p w:rsidR="00714867" w:rsidRPr="008801EE" w:rsidRDefault="00714867" w:rsidP="003C0CEE">
            <w:pPr>
              <w:jc w:val="both"/>
              <w:rPr>
                <w:rFonts w:ascii="Times New Roman" w:hAnsi="Times New Roman"/>
              </w:rPr>
            </w:pPr>
            <w:r w:rsidRPr="008801EE">
              <w:rPr>
                <w:rFonts w:ascii="Times New Roman" w:hAnsi="Times New Roman"/>
              </w:rPr>
              <w:t>Total solids (mg/L)</w:t>
            </w:r>
          </w:p>
        </w:tc>
        <w:tc>
          <w:tcPr>
            <w:tcW w:w="3060" w:type="dxa"/>
            <w:tcBorders>
              <w:top w:val="single" w:sz="4" w:space="0" w:color="auto"/>
            </w:tcBorders>
          </w:tcPr>
          <w:p w:rsidR="00714867" w:rsidRPr="008801EE" w:rsidRDefault="00714867" w:rsidP="003C0CEE">
            <w:pPr>
              <w:jc w:val="center"/>
              <w:rPr>
                <w:rFonts w:ascii="Times New Roman" w:hAnsi="Times New Roman"/>
              </w:rPr>
            </w:pPr>
            <w:r w:rsidRPr="008801EE">
              <w:rPr>
                <w:rFonts w:ascii="Times New Roman" w:hAnsi="Times New Roman"/>
              </w:rPr>
              <w:t>642796.16</w:t>
            </w:r>
          </w:p>
        </w:tc>
        <w:tc>
          <w:tcPr>
            <w:tcW w:w="2520" w:type="dxa"/>
            <w:tcBorders>
              <w:top w:val="single" w:sz="4" w:space="0" w:color="auto"/>
              <w:right w:val="nil"/>
            </w:tcBorders>
          </w:tcPr>
          <w:p w:rsidR="00714867" w:rsidRPr="008801EE" w:rsidRDefault="00714867" w:rsidP="003C0CEE">
            <w:pPr>
              <w:jc w:val="center"/>
              <w:rPr>
                <w:rFonts w:ascii="Times New Roman" w:hAnsi="Times New Roman"/>
              </w:rPr>
            </w:pPr>
            <w:r w:rsidRPr="008801EE">
              <w:rPr>
                <w:rFonts w:ascii="Times New Roman" w:hAnsi="Times New Roman"/>
              </w:rPr>
              <w:t>269515.67</w:t>
            </w:r>
          </w:p>
        </w:tc>
      </w:tr>
      <w:tr w:rsidR="00714867" w:rsidRPr="008801EE" w:rsidTr="004576FB">
        <w:tc>
          <w:tcPr>
            <w:tcW w:w="3888" w:type="dxa"/>
            <w:tcBorders>
              <w:left w:val="nil"/>
            </w:tcBorders>
          </w:tcPr>
          <w:p w:rsidR="00714867" w:rsidRPr="008801EE" w:rsidRDefault="00714867" w:rsidP="003C0CEE">
            <w:pPr>
              <w:jc w:val="both"/>
              <w:rPr>
                <w:rFonts w:ascii="Times New Roman" w:hAnsi="Times New Roman"/>
              </w:rPr>
            </w:pPr>
            <w:r w:rsidRPr="008801EE">
              <w:rPr>
                <w:rFonts w:ascii="Times New Roman" w:hAnsi="Times New Roman"/>
              </w:rPr>
              <w:t>Total solids (%)</w:t>
            </w:r>
          </w:p>
        </w:tc>
        <w:tc>
          <w:tcPr>
            <w:tcW w:w="3060" w:type="dxa"/>
          </w:tcPr>
          <w:p w:rsidR="00714867" w:rsidRPr="008801EE" w:rsidRDefault="00714867" w:rsidP="003C0CEE">
            <w:pPr>
              <w:jc w:val="center"/>
              <w:rPr>
                <w:rFonts w:ascii="Times New Roman" w:hAnsi="Times New Roman"/>
              </w:rPr>
            </w:pPr>
            <w:r w:rsidRPr="008801EE">
              <w:rPr>
                <w:rFonts w:ascii="Times New Roman" w:hAnsi="Times New Roman"/>
              </w:rPr>
              <w:t>64.28</w:t>
            </w:r>
          </w:p>
        </w:tc>
        <w:tc>
          <w:tcPr>
            <w:tcW w:w="2520" w:type="dxa"/>
            <w:tcBorders>
              <w:right w:val="nil"/>
            </w:tcBorders>
          </w:tcPr>
          <w:p w:rsidR="00714867" w:rsidRPr="008801EE" w:rsidRDefault="00714867" w:rsidP="003C0CEE">
            <w:pPr>
              <w:jc w:val="center"/>
              <w:rPr>
                <w:rFonts w:ascii="Times New Roman" w:hAnsi="Times New Roman"/>
              </w:rPr>
            </w:pPr>
            <w:r w:rsidRPr="008801EE">
              <w:rPr>
                <w:rFonts w:ascii="Times New Roman" w:hAnsi="Times New Roman"/>
              </w:rPr>
              <w:t>26.95</w:t>
            </w:r>
          </w:p>
        </w:tc>
      </w:tr>
      <w:tr w:rsidR="00714867" w:rsidRPr="008801EE" w:rsidTr="004576FB">
        <w:tc>
          <w:tcPr>
            <w:tcW w:w="3888" w:type="dxa"/>
            <w:tcBorders>
              <w:left w:val="nil"/>
            </w:tcBorders>
          </w:tcPr>
          <w:p w:rsidR="00714867" w:rsidRPr="008801EE" w:rsidRDefault="00714867" w:rsidP="003C0CEE">
            <w:pPr>
              <w:jc w:val="both"/>
              <w:rPr>
                <w:rFonts w:ascii="Times New Roman" w:hAnsi="Times New Roman"/>
              </w:rPr>
            </w:pPr>
            <w:r w:rsidRPr="008801EE">
              <w:rPr>
                <w:rFonts w:ascii="Times New Roman" w:hAnsi="Times New Roman"/>
              </w:rPr>
              <w:t>Volatile solids (mg/L)</w:t>
            </w:r>
          </w:p>
        </w:tc>
        <w:tc>
          <w:tcPr>
            <w:tcW w:w="3060" w:type="dxa"/>
          </w:tcPr>
          <w:p w:rsidR="00714867" w:rsidRPr="008801EE" w:rsidRDefault="00714867" w:rsidP="003C0CEE">
            <w:pPr>
              <w:jc w:val="center"/>
              <w:rPr>
                <w:rFonts w:ascii="Times New Roman" w:hAnsi="Times New Roman"/>
              </w:rPr>
            </w:pPr>
            <w:r w:rsidRPr="008801EE">
              <w:rPr>
                <w:rFonts w:ascii="Times New Roman" w:hAnsi="Times New Roman"/>
              </w:rPr>
              <w:t>463500.53</w:t>
            </w:r>
          </w:p>
        </w:tc>
        <w:tc>
          <w:tcPr>
            <w:tcW w:w="2520" w:type="dxa"/>
            <w:tcBorders>
              <w:right w:val="nil"/>
            </w:tcBorders>
          </w:tcPr>
          <w:p w:rsidR="00714867" w:rsidRPr="008801EE" w:rsidRDefault="00714867" w:rsidP="003C0CEE">
            <w:pPr>
              <w:jc w:val="center"/>
              <w:rPr>
                <w:rFonts w:ascii="Times New Roman" w:hAnsi="Times New Roman"/>
              </w:rPr>
            </w:pPr>
            <w:r w:rsidRPr="008801EE">
              <w:rPr>
                <w:rFonts w:ascii="Times New Roman" w:hAnsi="Times New Roman"/>
              </w:rPr>
              <w:t>172934.47</w:t>
            </w:r>
          </w:p>
        </w:tc>
      </w:tr>
      <w:tr w:rsidR="00714867" w:rsidRPr="008801EE" w:rsidTr="004576FB">
        <w:tc>
          <w:tcPr>
            <w:tcW w:w="3888" w:type="dxa"/>
            <w:tcBorders>
              <w:left w:val="nil"/>
            </w:tcBorders>
          </w:tcPr>
          <w:p w:rsidR="00714867" w:rsidRPr="008801EE" w:rsidRDefault="00714867" w:rsidP="003C0CEE">
            <w:pPr>
              <w:jc w:val="both"/>
              <w:rPr>
                <w:rFonts w:ascii="Times New Roman" w:hAnsi="Times New Roman"/>
              </w:rPr>
            </w:pPr>
            <w:r w:rsidRPr="008801EE">
              <w:rPr>
                <w:rFonts w:ascii="Times New Roman" w:hAnsi="Times New Roman"/>
              </w:rPr>
              <w:t>Volatile solids (%)</w:t>
            </w:r>
          </w:p>
        </w:tc>
        <w:tc>
          <w:tcPr>
            <w:tcW w:w="3060" w:type="dxa"/>
          </w:tcPr>
          <w:p w:rsidR="00714867" w:rsidRPr="008801EE" w:rsidRDefault="00714867" w:rsidP="003C0CEE">
            <w:pPr>
              <w:jc w:val="center"/>
              <w:rPr>
                <w:rFonts w:ascii="Times New Roman" w:hAnsi="Times New Roman"/>
              </w:rPr>
            </w:pPr>
            <w:r w:rsidRPr="008801EE">
              <w:rPr>
                <w:rFonts w:ascii="Times New Roman" w:hAnsi="Times New Roman"/>
              </w:rPr>
              <w:t>72.12</w:t>
            </w:r>
          </w:p>
        </w:tc>
        <w:tc>
          <w:tcPr>
            <w:tcW w:w="2520" w:type="dxa"/>
            <w:tcBorders>
              <w:right w:val="nil"/>
            </w:tcBorders>
          </w:tcPr>
          <w:p w:rsidR="00714867" w:rsidRPr="008801EE" w:rsidRDefault="00714867" w:rsidP="003C0CEE">
            <w:pPr>
              <w:jc w:val="center"/>
              <w:rPr>
                <w:rFonts w:ascii="Times New Roman" w:hAnsi="Times New Roman"/>
              </w:rPr>
            </w:pPr>
            <w:r w:rsidRPr="008801EE">
              <w:rPr>
                <w:rFonts w:ascii="Times New Roman" w:hAnsi="Times New Roman"/>
              </w:rPr>
              <w:t>64.16</w:t>
            </w:r>
          </w:p>
        </w:tc>
      </w:tr>
      <w:tr w:rsidR="00714867" w:rsidRPr="008801EE" w:rsidTr="004576FB">
        <w:tc>
          <w:tcPr>
            <w:tcW w:w="3888" w:type="dxa"/>
            <w:tcBorders>
              <w:left w:val="nil"/>
            </w:tcBorders>
          </w:tcPr>
          <w:p w:rsidR="00714867" w:rsidRPr="008801EE" w:rsidRDefault="00714867" w:rsidP="003C0CEE">
            <w:pPr>
              <w:jc w:val="both"/>
              <w:rPr>
                <w:rFonts w:ascii="Times New Roman" w:hAnsi="Times New Roman"/>
              </w:rPr>
            </w:pPr>
            <w:r w:rsidRPr="008801EE">
              <w:rPr>
                <w:rFonts w:ascii="Times New Roman" w:hAnsi="Times New Roman"/>
              </w:rPr>
              <w:t>Total solids/ volatile solids (%)</w:t>
            </w:r>
          </w:p>
        </w:tc>
        <w:tc>
          <w:tcPr>
            <w:tcW w:w="3060" w:type="dxa"/>
          </w:tcPr>
          <w:p w:rsidR="00714867" w:rsidRPr="008801EE" w:rsidRDefault="00714867" w:rsidP="003C0CEE">
            <w:pPr>
              <w:jc w:val="center"/>
              <w:rPr>
                <w:rFonts w:ascii="Times New Roman" w:hAnsi="Times New Roman"/>
              </w:rPr>
            </w:pPr>
            <w:r w:rsidRPr="008801EE">
              <w:rPr>
                <w:rFonts w:ascii="Times New Roman" w:hAnsi="Times New Roman"/>
              </w:rPr>
              <w:t>72.11</w:t>
            </w:r>
          </w:p>
        </w:tc>
        <w:tc>
          <w:tcPr>
            <w:tcW w:w="2520" w:type="dxa"/>
            <w:tcBorders>
              <w:right w:val="nil"/>
            </w:tcBorders>
          </w:tcPr>
          <w:p w:rsidR="00714867" w:rsidRPr="008801EE" w:rsidRDefault="00714867" w:rsidP="003C0CEE">
            <w:pPr>
              <w:jc w:val="center"/>
              <w:rPr>
                <w:rFonts w:ascii="Times New Roman" w:hAnsi="Times New Roman"/>
              </w:rPr>
            </w:pPr>
            <w:r w:rsidRPr="008801EE">
              <w:rPr>
                <w:rFonts w:ascii="Times New Roman" w:hAnsi="Times New Roman"/>
              </w:rPr>
              <w:t>64.16</w:t>
            </w:r>
          </w:p>
        </w:tc>
      </w:tr>
      <w:tr w:rsidR="00714867" w:rsidRPr="008801EE" w:rsidTr="004576FB">
        <w:tc>
          <w:tcPr>
            <w:tcW w:w="3888" w:type="dxa"/>
            <w:tcBorders>
              <w:left w:val="nil"/>
            </w:tcBorders>
          </w:tcPr>
          <w:p w:rsidR="00714867" w:rsidRPr="008801EE" w:rsidRDefault="00714867" w:rsidP="003C0CEE">
            <w:pPr>
              <w:jc w:val="both"/>
              <w:rPr>
                <w:rFonts w:ascii="Times New Roman" w:hAnsi="Times New Roman"/>
              </w:rPr>
            </w:pPr>
            <w:r w:rsidRPr="008801EE">
              <w:rPr>
                <w:rFonts w:ascii="Times New Roman" w:hAnsi="Times New Roman"/>
              </w:rPr>
              <w:t>Total alkalinity (mg/L)</w:t>
            </w:r>
          </w:p>
        </w:tc>
        <w:tc>
          <w:tcPr>
            <w:tcW w:w="3060" w:type="dxa"/>
          </w:tcPr>
          <w:p w:rsidR="00714867" w:rsidRPr="008801EE" w:rsidRDefault="00714867" w:rsidP="003C0CEE">
            <w:pPr>
              <w:jc w:val="center"/>
              <w:rPr>
                <w:rFonts w:ascii="Times New Roman" w:hAnsi="Times New Roman"/>
              </w:rPr>
            </w:pPr>
            <w:r w:rsidRPr="008801EE">
              <w:rPr>
                <w:rFonts w:ascii="Times New Roman" w:hAnsi="Times New Roman"/>
              </w:rPr>
              <w:t>62136-65789</w:t>
            </w:r>
          </w:p>
        </w:tc>
        <w:tc>
          <w:tcPr>
            <w:tcW w:w="2520" w:type="dxa"/>
            <w:tcBorders>
              <w:right w:val="nil"/>
            </w:tcBorders>
          </w:tcPr>
          <w:p w:rsidR="00714867" w:rsidRPr="008801EE" w:rsidRDefault="00714867" w:rsidP="003C0CEE">
            <w:pPr>
              <w:jc w:val="center"/>
              <w:rPr>
                <w:rFonts w:ascii="Times New Roman" w:hAnsi="Times New Roman"/>
              </w:rPr>
            </w:pPr>
            <w:r w:rsidRPr="008801EE">
              <w:rPr>
                <w:rFonts w:ascii="Times New Roman" w:hAnsi="Times New Roman"/>
              </w:rPr>
              <w:t>62361-65897</w:t>
            </w:r>
          </w:p>
        </w:tc>
      </w:tr>
      <w:tr w:rsidR="00714867" w:rsidRPr="008801EE" w:rsidTr="004576FB">
        <w:trPr>
          <w:trHeight w:val="251"/>
        </w:trPr>
        <w:tc>
          <w:tcPr>
            <w:tcW w:w="3888" w:type="dxa"/>
            <w:tcBorders>
              <w:left w:val="nil"/>
            </w:tcBorders>
          </w:tcPr>
          <w:p w:rsidR="00714867" w:rsidRPr="008801EE" w:rsidRDefault="00714867" w:rsidP="003C0CEE">
            <w:pPr>
              <w:jc w:val="both"/>
              <w:rPr>
                <w:rFonts w:ascii="Times New Roman" w:hAnsi="Times New Roman"/>
              </w:rPr>
            </w:pPr>
            <w:r w:rsidRPr="008801EE">
              <w:rPr>
                <w:rFonts w:ascii="Times New Roman" w:hAnsi="Times New Roman"/>
              </w:rPr>
              <w:t>pH [average]</w:t>
            </w:r>
          </w:p>
        </w:tc>
        <w:tc>
          <w:tcPr>
            <w:tcW w:w="3060" w:type="dxa"/>
          </w:tcPr>
          <w:p w:rsidR="00714867" w:rsidRPr="008801EE" w:rsidRDefault="00714867" w:rsidP="003C0CEE">
            <w:pPr>
              <w:jc w:val="center"/>
              <w:rPr>
                <w:rFonts w:ascii="Times New Roman" w:hAnsi="Times New Roman"/>
              </w:rPr>
            </w:pPr>
            <w:r w:rsidRPr="008801EE">
              <w:rPr>
                <w:rFonts w:ascii="Times New Roman" w:hAnsi="Times New Roman"/>
              </w:rPr>
              <w:t>7.75-7.82</w:t>
            </w:r>
          </w:p>
        </w:tc>
        <w:tc>
          <w:tcPr>
            <w:tcW w:w="2520" w:type="dxa"/>
            <w:tcBorders>
              <w:right w:val="nil"/>
            </w:tcBorders>
          </w:tcPr>
          <w:p w:rsidR="00714867" w:rsidRPr="008801EE" w:rsidRDefault="00714867" w:rsidP="003C0CEE">
            <w:pPr>
              <w:jc w:val="center"/>
              <w:rPr>
                <w:rFonts w:ascii="Times New Roman" w:hAnsi="Times New Roman"/>
              </w:rPr>
            </w:pPr>
            <w:r w:rsidRPr="008801EE">
              <w:rPr>
                <w:rFonts w:ascii="Times New Roman" w:hAnsi="Times New Roman"/>
              </w:rPr>
              <w:t>7.34-7.36</w:t>
            </w:r>
          </w:p>
        </w:tc>
      </w:tr>
      <w:tr w:rsidR="00714867" w:rsidRPr="008801EE" w:rsidTr="004576FB">
        <w:trPr>
          <w:trHeight w:val="251"/>
        </w:trPr>
        <w:tc>
          <w:tcPr>
            <w:tcW w:w="3888" w:type="dxa"/>
            <w:tcBorders>
              <w:left w:val="nil"/>
            </w:tcBorders>
          </w:tcPr>
          <w:p w:rsidR="00714867" w:rsidRPr="008801EE" w:rsidRDefault="00714867" w:rsidP="003C0CEE">
            <w:pPr>
              <w:jc w:val="both"/>
              <w:rPr>
                <w:rFonts w:ascii="Times New Roman" w:hAnsi="Times New Roman"/>
              </w:rPr>
            </w:pPr>
            <w:r w:rsidRPr="008801EE">
              <w:rPr>
                <w:rFonts w:ascii="Times New Roman" w:hAnsi="Times New Roman"/>
              </w:rPr>
              <w:t>Calorific value (MJ/g)</w:t>
            </w:r>
          </w:p>
        </w:tc>
        <w:tc>
          <w:tcPr>
            <w:tcW w:w="3060" w:type="dxa"/>
          </w:tcPr>
          <w:p w:rsidR="00714867" w:rsidRPr="008801EE" w:rsidRDefault="00714867" w:rsidP="003C0CEE">
            <w:pPr>
              <w:jc w:val="center"/>
              <w:rPr>
                <w:rFonts w:ascii="Times New Roman" w:hAnsi="Times New Roman"/>
              </w:rPr>
            </w:pPr>
            <w:r w:rsidRPr="008801EE">
              <w:rPr>
                <w:rFonts w:ascii="Times New Roman" w:hAnsi="Times New Roman"/>
              </w:rPr>
              <w:t>27.28</w:t>
            </w:r>
          </w:p>
        </w:tc>
        <w:tc>
          <w:tcPr>
            <w:tcW w:w="2520" w:type="dxa"/>
            <w:tcBorders>
              <w:right w:val="nil"/>
            </w:tcBorders>
          </w:tcPr>
          <w:p w:rsidR="00714867" w:rsidRPr="008801EE" w:rsidRDefault="00714867" w:rsidP="003C0CEE">
            <w:pPr>
              <w:jc w:val="center"/>
              <w:rPr>
                <w:rFonts w:ascii="Times New Roman" w:hAnsi="Times New Roman"/>
              </w:rPr>
            </w:pPr>
            <w:r w:rsidRPr="008801EE">
              <w:rPr>
                <w:rFonts w:ascii="Times New Roman" w:hAnsi="Times New Roman"/>
              </w:rPr>
              <w:t>26.40</w:t>
            </w:r>
          </w:p>
        </w:tc>
      </w:tr>
      <w:tr w:rsidR="00714867" w:rsidRPr="008801EE" w:rsidTr="004576FB">
        <w:trPr>
          <w:trHeight w:val="251"/>
        </w:trPr>
        <w:tc>
          <w:tcPr>
            <w:tcW w:w="3888" w:type="dxa"/>
            <w:tcBorders>
              <w:left w:val="nil"/>
            </w:tcBorders>
          </w:tcPr>
          <w:p w:rsidR="00714867" w:rsidRPr="008801EE" w:rsidRDefault="00714867" w:rsidP="003C0CEE">
            <w:pPr>
              <w:jc w:val="both"/>
              <w:rPr>
                <w:rFonts w:ascii="Times New Roman" w:hAnsi="Times New Roman"/>
              </w:rPr>
            </w:pPr>
            <w:r w:rsidRPr="008801EE">
              <w:rPr>
                <w:rFonts w:ascii="Times New Roman" w:hAnsi="Times New Roman"/>
              </w:rPr>
              <w:t>Ammonia-nitrogen (mg/L)</w:t>
            </w:r>
          </w:p>
        </w:tc>
        <w:tc>
          <w:tcPr>
            <w:tcW w:w="3060" w:type="dxa"/>
          </w:tcPr>
          <w:p w:rsidR="00714867" w:rsidRPr="008801EE" w:rsidRDefault="00714867" w:rsidP="003C0CEE">
            <w:pPr>
              <w:jc w:val="center"/>
              <w:rPr>
                <w:rFonts w:ascii="Times New Roman" w:hAnsi="Times New Roman"/>
              </w:rPr>
            </w:pPr>
            <w:r w:rsidRPr="008801EE">
              <w:rPr>
                <w:rFonts w:ascii="Times New Roman" w:hAnsi="Times New Roman"/>
              </w:rPr>
              <w:t>175-226</w:t>
            </w:r>
          </w:p>
        </w:tc>
        <w:tc>
          <w:tcPr>
            <w:tcW w:w="2520" w:type="dxa"/>
            <w:tcBorders>
              <w:right w:val="nil"/>
            </w:tcBorders>
          </w:tcPr>
          <w:p w:rsidR="00714867" w:rsidRPr="008801EE" w:rsidRDefault="00714867" w:rsidP="003C0CEE">
            <w:pPr>
              <w:jc w:val="center"/>
              <w:rPr>
                <w:rFonts w:ascii="Times New Roman" w:hAnsi="Times New Roman"/>
              </w:rPr>
            </w:pPr>
            <w:r w:rsidRPr="008801EE">
              <w:rPr>
                <w:rFonts w:ascii="Times New Roman" w:hAnsi="Times New Roman"/>
              </w:rPr>
              <w:t>232-250</w:t>
            </w:r>
          </w:p>
        </w:tc>
      </w:tr>
    </w:tbl>
    <w:p w:rsidR="00714867" w:rsidRPr="008801EE" w:rsidRDefault="00714867" w:rsidP="00714867">
      <w:pPr>
        <w:tabs>
          <w:tab w:val="left" w:pos="2304"/>
        </w:tabs>
        <w:spacing w:line="240" w:lineRule="auto"/>
        <w:jc w:val="both"/>
        <w:rPr>
          <w:rFonts w:ascii="Times New Roman" w:hAnsi="Times New Roman"/>
          <w:b/>
        </w:rPr>
      </w:pPr>
    </w:p>
    <w:p w:rsidR="00C4698C" w:rsidRPr="002021B6" w:rsidRDefault="00DB2A2A" w:rsidP="002021B6">
      <w:pPr>
        <w:spacing w:line="240" w:lineRule="auto"/>
        <w:jc w:val="both"/>
        <w:rPr>
          <w:rFonts w:ascii="Times New Roman" w:hAnsi="Times New Roman"/>
        </w:rPr>
      </w:pPr>
      <w:r w:rsidRPr="009D6F64">
        <w:rPr>
          <w:rFonts w:ascii="Times New Roman" w:hAnsi="Times New Roman"/>
        </w:rPr>
        <w:t xml:space="preserve">      Table 3</w:t>
      </w:r>
      <w:r w:rsidR="00714867" w:rsidRPr="009D6F64">
        <w:rPr>
          <w:rFonts w:ascii="Times New Roman" w:hAnsi="Times New Roman"/>
        </w:rPr>
        <w:t xml:space="preserve"> shows substrate parameters for horse dung and goat dung in different mixing ratios. There were variations of methane content among different treatments. Goat dung had a biogas composition with higher methane yield than horse dung. Co-digestion of goat dung and horse dung at different mixing ratios increased methane content in biogas. The 40% horse dung and 60% goat dung had the highest methane yield of 60-75%. The 50% horse dung and 50% goat dung also produced biogas of high methane yield content of 58-75%. The 75% horse dung and 25% goat dung had the lowest methane yield for all the co-substrates used between 55-65%.</w:t>
      </w:r>
    </w:p>
    <w:p w:rsidR="00714867" w:rsidRPr="009D6F64" w:rsidRDefault="00714867" w:rsidP="003C0CEE">
      <w:pPr>
        <w:spacing w:line="240" w:lineRule="auto"/>
        <w:jc w:val="center"/>
        <w:rPr>
          <w:rFonts w:ascii="Times New Roman" w:hAnsi="Times New Roman"/>
          <w:b/>
        </w:rPr>
      </w:pPr>
      <w:proofErr w:type="gramStart"/>
      <w:r w:rsidRPr="009D6F64">
        <w:rPr>
          <w:rFonts w:ascii="Times New Roman" w:hAnsi="Times New Roman"/>
          <w:b/>
        </w:rPr>
        <w:t xml:space="preserve">Table </w:t>
      </w:r>
      <w:r w:rsidR="00DB2A2A" w:rsidRPr="009D6F64">
        <w:rPr>
          <w:rFonts w:ascii="Times New Roman" w:hAnsi="Times New Roman"/>
          <w:b/>
        </w:rPr>
        <w:t>3</w:t>
      </w:r>
      <w:r w:rsidRPr="009D6F64">
        <w:rPr>
          <w:rFonts w:ascii="Times New Roman" w:hAnsi="Times New Roman"/>
        </w:rPr>
        <w:t>.</w:t>
      </w:r>
      <w:proofErr w:type="gramEnd"/>
      <w:r w:rsidRPr="009D6F64">
        <w:rPr>
          <w:rFonts w:ascii="Times New Roman" w:hAnsi="Times New Roman"/>
        </w:rPr>
        <w:t xml:space="preserve"> Composition of biogas for different substrates with different mixing ratios</w:t>
      </w:r>
    </w:p>
    <w:tbl>
      <w:tblPr>
        <w:tblStyle w:val="TableGrid"/>
        <w:tblW w:w="0" w:type="auto"/>
        <w:tblBorders>
          <w:insideH w:val="none" w:sz="0" w:space="0" w:color="auto"/>
          <w:insideV w:val="none" w:sz="0" w:space="0" w:color="auto"/>
        </w:tblBorders>
        <w:tblLook w:val="04A0"/>
      </w:tblPr>
      <w:tblGrid>
        <w:gridCol w:w="1458"/>
        <w:gridCol w:w="1530"/>
        <w:gridCol w:w="1225"/>
        <w:gridCol w:w="1260"/>
        <w:gridCol w:w="1170"/>
        <w:gridCol w:w="1260"/>
        <w:gridCol w:w="1440"/>
      </w:tblGrid>
      <w:tr w:rsidR="00714867" w:rsidRPr="009D6F64" w:rsidTr="008801EE">
        <w:trPr>
          <w:trHeight w:val="1178"/>
        </w:trPr>
        <w:tc>
          <w:tcPr>
            <w:tcW w:w="1458" w:type="dxa"/>
            <w:tcBorders>
              <w:top w:val="single" w:sz="4" w:space="0" w:color="auto"/>
              <w:left w:val="nil"/>
              <w:bottom w:val="single" w:sz="4" w:space="0" w:color="auto"/>
            </w:tcBorders>
          </w:tcPr>
          <w:p w:rsidR="00714867" w:rsidRPr="008801EE" w:rsidRDefault="00714867" w:rsidP="003C0CEE">
            <w:pPr>
              <w:jc w:val="both"/>
              <w:rPr>
                <w:rFonts w:ascii="Times New Roman" w:hAnsi="Times New Roman"/>
              </w:rPr>
            </w:pPr>
          </w:p>
        </w:tc>
        <w:tc>
          <w:tcPr>
            <w:tcW w:w="1530" w:type="dxa"/>
            <w:tcBorders>
              <w:top w:val="single" w:sz="4" w:space="0" w:color="auto"/>
              <w:bottom w:val="single" w:sz="4" w:space="0" w:color="auto"/>
            </w:tcBorders>
          </w:tcPr>
          <w:p w:rsidR="00714867" w:rsidRPr="008801EE" w:rsidRDefault="00714867" w:rsidP="008801EE">
            <w:pPr>
              <w:jc w:val="center"/>
              <w:rPr>
                <w:rFonts w:ascii="Times New Roman" w:hAnsi="Times New Roman"/>
                <w:b/>
              </w:rPr>
            </w:pPr>
            <w:r w:rsidRPr="008801EE">
              <w:rPr>
                <w:rFonts w:ascii="Times New Roman" w:hAnsi="Times New Roman"/>
                <w:b/>
              </w:rPr>
              <w:t>0%,horse 100%,goat dung</w:t>
            </w:r>
          </w:p>
        </w:tc>
        <w:tc>
          <w:tcPr>
            <w:tcW w:w="1225" w:type="dxa"/>
            <w:tcBorders>
              <w:top w:val="single" w:sz="4" w:space="0" w:color="auto"/>
              <w:bottom w:val="single" w:sz="4" w:space="0" w:color="auto"/>
            </w:tcBorders>
          </w:tcPr>
          <w:p w:rsidR="00714867" w:rsidRPr="008801EE" w:rsidRDefault="00714867" w:rsidP="008801EE">
            <w:pPr>
              <w:jc w:val="center"/>
              <w:rPr>
                <w:rFonts w:ascii="Times New Roman" w:hAnsi="Times New Roman"/>
                <w:b/>
              </w:rPr>
            </w:pPr>
            <w:r w:rsidRPr="008801EE">
              <w:rPr>
                <w:rFonts w:ascii="Times New Roman" w:hAnsi="Times New Roman"/>
                <w:b/>
              </w:rPr>
              <w:t>40% horse,60% goat dung</w:t>
            </w:r>
          </w:p>
        </w:tc>
        <w:tc>
          <w:tcPr>
            <w:tcW w:w="1260" w:type="dxa"/>
            <w:tcBorders>
              <w:top w:val="single" w:sz="4" w:space="0" w:color="auto"/>
              <w:bottom w:val="single" w:sz="4" w:space="0" w:color="auto"/>
            </w:tcBorders>
          </w:tcPr>
          <w:p w:rsidR="00714867" w:rsidRPr="008801EE" w:rsidRDefault="00714867" w:rsidP="008801EE">
            <w:pPr>
              <w:jc w:val="center"/>
              <w:rPr>
                <w:rFonts w:ascii="Times New Roman" w:hAnsi="Times New Roman"/>
                <w:b/>
              </w:rPr>
            </w:pPr>
            <w:r w:rsidRPr="008801EE">
              <w:rPr>
                <w:rFonts w:ascii="Times New Roman" w:hAnsi="Times New Roman"/>
                <w:b/>
              </w:rPr>
              <w:t>50% horse,50% goat dung</w:t>
            </w:r>
          </w:p>
        </w:tc>
        <w:tc>
          <w:tcPr>
            <w:tcW w:w="1170" w:type="dxa"/>
            <w:tcBorders>
              <w:top w:val="single" w:sz="4" w:space="0" w:color="auto"/>
              <w:bottom w:val="single" w:sz="4" w:space="0" w:color="auto"/>
            </w:tcBorders>
          </w:tcPr>
          <w:p w:rsidR="00714867" w:rsidRPr="008801EE" w:rsidRDefault="00714867" w:rsidP="008801EE">
            <w:pPr>
              <w:jc w:val="center"/>
              <w:rPr>
                <w:rFonts w:ascii="Times New Roman" w:hAnsi="Times New Roman"/>
                <w:b/>
              </w:rPr>
            </w:pPr>
            <w:r w:rsidRPr="008801EE">
              <w:rPr>
                <w:rFonts w:ascii="Times New Roman" w:hAnsi="Times New Roman"/>
                <w:b/>
              </w:rPr>
              <w:t>60% horse, 40% goat dung.</w:t>
            </w:r>
          </w:p>
        </w:tc>
        <w:tc>
          <w:tcPr>
            <w:tcW w:w="1260" w:type="dxa"/>
            <w:tcBorders>
              <w:top w:val="single" w:sz="4" w:space="0" w:color="auto"/>
              <w:bottom w:val="single" w:sz="4" w:space="0" w:color="auto"/>
            </w:tcBorders>
          </w:tcPr>
          <w:p w:rsidR="00714867" w:rsidRPr="008801EE" w:rsidRDefault="00714867" w:rsidP="008801EE">
            <w:pPr>
              <w:jc w:val="center"/>
              <w:rPr>
                <w:rFonts w:ascii="Times New Roman" w:hAnsi="Times New Roman"/>
                <w:b/>
              </w:rPr>
            </w:pPr>
            <w:r w:rsidRPr="008801EE">
              <w:rPr>
                <w:rFonts w:ascii="Times New Roman" w:hAnsi="Times New Roman"/>
                <w:b/>
              </w:rPr>
              <w:t>75% horse, 25% goat dung</w:t>
            </w:r>
          </w:p>
        </w:tc>
        <w:tc>
          <w:tcPr>
            <w:tcW w:w="1440" w:type="dxa"/>
            <w:tcBorders>
              <w:top w:val="single" w:sz="4" w:space="0" w:color="auto"/>
              <w:bottom w:val="single" w:sz="4" w:space="0" w:color="auto"/>
              <w:right w:val="nil"/>
            </w:tcBorders>
          </w:tcPr>
          <w:p w:rsidR="00714867" w:rsidRPr="008801EE" w:rsidRDefault="00714867" w:rsidP="008801EE">
            <w:pPr>
              <w:jc w:val="center"/>
              <w:rPr>
                <w:rFonts w:ascii="Times New Roman" w:hAnsi="Times New Roman"/>
                <w:b/>
              </w:rPr>
            </w:pPr>
            <w:r w:rsidRPr="008801EE">
              <w:rPr>
                <w:rFonts w:ascii="Times New Roman" w:hAnsi="Times New Roman"/>
                <w:b/>
              </w:rPr>
              <w:t>100% horse, 0% goat dung</w:t>
            </w:r>
          </w:p>
        </w:tc>
      </w:tr>
      <w:tr w:rsidR="00714867" w:rsidRPr="009D6F64" w:rsidTr="008801EE">
        <w:trPr>
          <w:trHeight w:val="350"/>
        </w:trPr>
        <w:tc>
          <w:tcPr>
            <w:tcW w:w="1458" w:type="dxa"/>
            <w:tcBorders>
              <w:top w:val="single" w:sz="4" w:space="0" w:color="auto"/>
              <w:left w:val="nil"/>
            </w:tcBorders>
          </w:tcPr>
          <w:p w:rsidR="00714867" w:rsidRPr="008801EE" w:rsidRDefault="00714867" w:rsidP="008801EE">
            <w:pPr>
              <w:pStyle w:val="NoSpacing"/>
              <w:spacing w:line="240" w:lineRule="auto"/>
              <w:rPr>
                <w:b w:val="0"/>
                <w:sz w:val="22"/>
                <w:szCs w:val="22"/>
              </w:rPr>
            </w:pPr>
            <w:r w:rsidRPr="008801EE">
              <w:rPr>
                <w:b w:val="0"/>
                <w:sz w:val="22"/>
                <w:szCs w:val="22"/>
              </w:rPr>
              <w:t>CH</w:t>
            </w:r>
            <w:r w:rsidRPr="008801EE">
              <w:rPr>
                <w:b w:val="0"/>
                <w:sz w:val="22"/>
                <w:szCs w:val="22"/>
                <w:vertAlign w:val="subscript"/>
              </w:rPr>
              <w:t>4</w:t>
            </w:r>
            <w:r w:rsidRPr="008801EE">
              <w:rPr>
                <w:b w:val="0"/>
                <w:sz w:val="22"/>
                <w:szCs w:val="22"/>
              </w:rPr>
              <w:t>%</w:t>
            </w:r>
          </w:p>
          <w:p w:rsidR="00714867" w:rsidRPr="008801EE" w:rsidRDefault="00714867" w:rsidP="008801EE">
            <w:pPr>
              <w:pStyle w:val="NoSpacing"/>
              <w:spacing w:line="240" w:lineRule="auto"/>
              <w:rPr>
                <w:b w:val="0"/>
                <w:sz w:val="22"/>
                <w:szCs w:val="22"/>
              </w:rPr>
            </w:pPr>
          </w:p>
        </w:tc>
        <w:tc>
          <w:tcPr>
            <w:tcW w:w="1530" w:type="dxa"/>
            <w:tcBorders>
              <w:top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45-58</w:t>
            </w:r>
          </w:p>
        </w:tc>
        <w:tc>
          <w:tcPr>
            <w:tcW w:w="1225" w:type="dxa"/>
            <w:tcBorders>
              <w:top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60-75</w:t>
            </w:r>
          </w:p>
        </w:tc>
        <w:tc>
          <w:tcPr>
            <w:tcW w:w="1260" w:type="dxa"/>
            <w:tcBorders>
              <w:top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58-75</w:t>
            </w:r>
          </w:p>
        </w:tc>
        <w:tc>
          <w:tcPr>
            <w:tcW w:w="1170" w:type="dxa"/>
            <w:tcBorders>
              <w:top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55-73</w:t>
            </w:r>
          </w:p>
        </w:tc>
        <w:tc>
          <w:tcPr>
            <w:tcW w:w="1260" w:type="dxa"/>
            <w:tcBorders>
              <w:top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55-65</w:t>
            </w:r>
          </w:p>
        </w:tc>
        <w:tc>
          <w:tcPr>
            <w:tcW w:w="1440" w:type="dxa"/>
            <w:tcBorders>
              <w:top w:val="single" w:sz="4" w:space="0" w:color="auto"/>
              <w:right w:val="nil"/>
            </w:tcBorders>
          </w:tcPr>
          <w:p w:rsidR="00714867" w:rsidRPr="008801EE" w:rsidRDefault="00714867" w:rsidP="008801EE">
            <w:pPr>
              <w:pStyle w:val="NoSpacing"/>
              <w:spacing w:line="240" w:lineRule="auto"/>
              <w:jc w:val="center"/>
              <w:rPr>
                <w:b w:val="0"/>
                <w:sz w:val="22"/>
                <w:szCs w:val="22"/>
              </w:rPr>
            </w:pPr>
            <w:r w:rsidRPr="008801EE">
              <w:rPr>
                <w:b w:val="0"/>
                <w:sz w:val="22"/>
                <w:szCs w:val="22"/>
              </w:rPr>
              <w:t>40-55</w:t>
            </w:r>
          </w:p>
        </w:tc>
      </w:tr>
      <w:tr w:rsidR="00714867" w:rsidRPr="009D6F64" w:rsidTr="004576FB">
        <w:tc>
          <w:tcPr>
            <w:tcW w:w="1458" w:type="dxa"/>
            <w:tcBorders>
              <w:left w:val="nil"/>
            </w:tcBorders>
          </w:tcPr>
          <w:p w:rsidR="00714867" w:rsidRPr="008801EE" w:rsidRDefault="00714867" w:rsidP="008801EE">
            <w:pPr>
              <w:pStyle w:val="NoSpacing"/>
              <w:spacing w:line="240" w:lineRule="auto"/>
              <w:rPr>
                <w:b w:val="0"/>
                <w:sz w:val="22"/>
                <w:szCs w:val="22"/>
              </w:rPr>
            </w:pPr>
            <w:r w:rsidRPr="008801EE">
              <w:rPr>
                <w:b w:val="0"/>
                <w:sz w:val="22"/>
                <w:szCs w:val="22"/>
              </w:rPr>
              <w:t>CO</w:t>
            </w:r>
            <w:r w:rsidRPr="008801EE">
              <w:rPr>
                <w:b w:val="0"/>
                <w:sz w:val="22"/>
                <w:szCs w:val="22"/>
                <w:vertAlign w:val="subscript"/>
              </w:rPr>
              <w:t>2</w:t>
            </w:r>
            <w:r w:rsidRPr="008801EE">
              <w:rPr>
                <w:b w:val="0"/>
                <w:sz w:val="22"/>
                <w:szCs w:val="22"/>
              </w:rPr>
              <w:t>%</w:t>
            </w:r>
          </w:p>
        </w:tc>
        <w:tc>
          <w:tcPr>
            <w:tcW w:w="1530" w:type="dxa"/>
          </w:tcPr>
          <w:p w:rsidR="00714867" w:rsidRPr="008801EE" w:rsidRDefault="00714867" w:rsidP="008801EE">
            <w:pPr>
              <w:pStyle w:val="NoSpacing"/>
              <w:spacing w:line="240" w:lineRule="auto"/>
              <w:jc w:val="center"/>
              <w:rPr>
                <w:b w:val="0"/>
                <w:sz w:val="22"/>
                <w:szCs w:val="22"/>
              </w:rPr>
            </w:pPr>
            <w:r w:rsidRPr="008801EE">
              <w:rPr>
                <w:b w:val="0"/>
                <w:sz w:val="22"/>
                <w:szCs w:val="22"/>
              </w:rPr>
              <w:t>30-45</w:t>
            </w:r>
          </w:p>
        </w:tc>
        <w:tc>
          <w:tcPr>
            <w:tcW w:w="1225" w:type="dxa"/>
          </w:tcPr>
          <w:p w:rsidR="00714867" w:rsidRPr="008801EE" w:rsidRDefault="00714867" w:rsidP="008801EE">
            <w:pPr>
              <w:pStyle w:val="NoSpacing"/>
              <w:spacing w:line="240" w:lineRule="auto"/>
              <w:jc w:val="center"/>
              <w:rPr>
                <w:b w:val="0"/>
                <w:sz w:val="22"/>
                <w:szCs w:val="22"/>
              </w:rPr>
            </w:pPr>
            <w:r w:rsidRPr="008801EE">
              <w:rPr>
                <w:b w:val="0"/>
                <w:sz w:val="22"/>
                <w:szCs w:val="22"/>
              </w:rPr>
              <w:t>25-35</w:t>
            </w:r>
          </w:p>
        </w:tc>
        <w:tc>
          <w:tcPr>
            <w:tcW w:w="1260" w:type="dxa"/>
          </w:tcPr>
          <w:p w:rsidR="00714867" w:rsidRPr="008801EE" w:rsidRDefault="00714867" w:rsidP="008801EE">
            <w:pPr>
              <w:pStyle w:val="NoSpacing"/>
              <w:spacing w:line="240" w:lineRule="auto"/>
              <w:jc w:val="center"/>
              <w:rPr>
                <w:b w:val="0"/>
                <w:sz w:val="22"/>
                <w:szCs w:val="22"/>
              </w:rPr>
            </w:pPr>
            <w:r w:rsidRPr="008801EE">
              <w:rPr>
                <w:b w:val="0"/>
                <w:sz w:val="22"/>
                <w:szCs w:val="22"/>
              </w:rPr>
              <w:t>30-40</w:t>
            </w:r>
          </w:p>
        </w:tc>
        <w:tc>
          <w:tcPr>
            <w:tcW w:w="1170" w:type="dxa"/>
          </w:tcPr>
          <w:p w:rsidR="00714867" w:rsidRPr="008801EE" w:rsidRDefault="00714867" w:rsidP="008801EE">
            <w:pPr>
              <w:pStyle w:val="NoSpacing"/>
              <w:spacing w:line="240" w:lineRule="auto"/>
              <w:jc w:val="center"/>
              <w:rPr>
                <w:b w:val="0"/>
                <w:sz w:val="22"/>
                <w:szCs w:val="22"/>
              </w:rPr>
            </w:pPr>
            <w:r w:rsidRPr="008801EE">
              <w:rPr>
                <w:b w:val="0"/>
                <w:sz w:val="22"/>
                <w:szCs w:val="22"/>
              </w:rPr>
              <w:t>28-40</w:t>
            </w:r>
          </w:p>
        </w:tc>
        <w:tc>
          <w:tcPr>
            <w:tcW w:w="1260" w:type="dxa"/>
          </w:tcPr>
          <w:p w:rsidR="00714867" w:rsidRPr="008801EE" w:rsidRDefault="00714867" w:rsidP="008801EE">
            <w:pPr>
              <w:pStyle w:val="NoSpacing"/>
              <w:spacing w:line="240" w:lineRule="auto"/>
              <w:jc w:val="center"/>
              <w:rPr>
                <w:b w:val="0"/>
                <w:sz w:val="22"/>
                <w:szCs w:val="22"/>
              </w:rPr>
            </w:pPr>
            <w:r w:rsidRPr="008801EE">
              <w:rPr>
                <w:b w:val="0"/>
                <w:sz w:val="22"/>
                <w:szCs w:val="22"/>
              </w:rPr>
              <w:t>30-45</w:t>
            </w:r>
          </w:p>
        </w:tc>
        <w:tc>
          <w:tcPr>
            <w:tcW w:w="1440" w:type="dxa"/>
            <w:tcBorders>
              <w:right w:val="nil"/>
            </w:tcBorders>
          </w:tcPr>
          <w:p w:rsidR="00714867" w:rsidRPr="008801EE" w:rsidRDefault="00714867" w:rsidP="008801EE">
            <w:pPr>
              <w:pStyle w:val="NoSpacing"/>
              <w:spacing w:line="240" w:lineRule="auto"/>
              <w:jc w:val="center"/>
              <w:rPr>
                <w:b w:val="0"/>
                <w:sz w:val="22"/>
                <w:szCs w:val="22"/>
              </w:rPr>
            </w:pPr>
            <w:r w:rsidRPr="008801EE">
              <w:rPr>
                <w:b w:val="0"/>
                <w:sz w:val="22"/>
                <w:szCs w:val="22"/>
              </w:rPr>
              <w:t>40-50</w:t>
            </w:r>
          </w:p>
        </w:tc>
      </w:tr>
      <w:tr w:rsidR="00714867" w:rsidRPr="009D6F64" w:rsidTr="004576FB">
        <w:tc>
          <w:tcPr>
            <w:tcW w:w="1458" w:type="dxa"/>
            <w:tcBorders>
              <w:left w:val="nil"/>
            </w:tcBorders>
          </w:tcPr>
          <w:p w:rsidR="00714867" w:rsidRPr="008801EE" w:rsidRDefault="00714867" w:rsidP="008801EE">
            <w:pPr>
              <w:pStyle w:val="NoSpacing"/>
              <w:spacing w:line="240" w:lineRule="auto"/>
              <w:rPr>
                <w:b w:val="0"/>
                <w:sz w:val="22"/>
                <w:szCs w:val="22"/>
              </w:rPr>
            </w:pPr>
            <w:r w:rsidRPr="008801EE">
              <w:rPr>
                <w:b w:val="0"/>
                <w:sz w:val="22"/>
                <w:szCs w:val="22"/>
              </w:rPr>
              <w:t>H</w:t>
            </w:r>
            <w:r w:rsidRPr="008801EE">
              <w:rPr>
                <w:b w:val="0"/>
                <w:sz w:val="22"/>
                <w:szCs w:val="22"/>
                <w:vertAlign w:val="subscript"/>
              </w:rPr>
              <w:t>2</w:t>
            </w:r>
            <w:r w:rsidRPr="008801EE">
              <w:rPr>
                <w:b w:val="0"/>
                <w:sz w:val="22"/>
                <w:szCs w:val="22"/>
              </w:rPr>
              <w:t>S%</w:t>
            </w:r>
          </w:p>
        </w:tc>
        <w:tc>
          <w:tcPr>
            <w:tcW w:w="1530" w:type="dxa"/>
          </w:tcPr>
          <w:p w:rsidR="00714867" w:rsidRPr="008801EE" w:rsidRDefault="00714867" w:rsidP="008801EE">
            <w:pPr>
              <w:pStyle w:val="NoSpacing"/>
              <w:spacing w:line="240" w:lineRule="auto"/>
              <w:jc w:val="center"/>
              <w:rPr>
                <w:b w:val="0"/>
                <w:sz w:val="22"/>
                <w:szCs w:val="22"/>
              </w:rPr>
            </w:pPr>
            <w:r w:rsidRPr="008801EE">
              <w:rPr>
                <w:b w:val="0"/>
                <w:sz w:val="22"/>
                <w:szCs w:val="22"/>
              </w:rPr>
              <w:t>trace</w:t>
            </w:r>
          </w:p>
        </w:tc>
        <w:tc>
          <w:tcPr>
            <w:tcW w:w="1225" w:type="dxa"/>
          </w:tcPr>
          <w:p w:rsidR="00714867" w:rsidRPr="008801EE" w:rsidRDefault="00714867" w:rsidP="008801EE">
            <w:pPr>
              <w:pStyle w:val="NoSpacing"/>
              <w:spacing w:line="240" w:lineRule="auto"/>
              <w:jc w:val="center"/>
              <w:rPr>
                <w:b w:val="0"/>
                <w:sz w:val="22"/>
                <w:szCs w:val="22"/>
              </w:rPr>
            </w:pPr>
            <w:r w:rsidRPr="008801EE">
              <w:rPr>
                <w:b w:val="0"/>
                <w:sz w:val="22"/>
                <w:szCs w:val="22"/>
              </w:rPr>
              <w:t>trace</w:t>
            </w:r>
          </w:p>
        </w:tc>
        <w:tc>
          <w:tcPr>
            <w:tcW w:w="1260" w:type="dxa"/>
          </w:tcPr>
          <w:p w:rsidR="00714867" w:rsidRPr="008801EE" w:rsidRDefault="00714867" w:rsidP="008801EE">
            <w:pPr>
              <w:pStyle w:val="NoSpacing"/>
              <w:spacing w:line="240" w:lineRule="auto"/>
              <w:jc w:val="center"/>
              <w:rPr>
                <w:b w:val="0"/>
                <w:sz w:val="22"/>
                <w:szCs w:val="22"/>
              </w:rPr>
            </w:pPr>
            <w:r w:rsidRPr="008801EE">
              <w:rPr>
                <w:b w:val="0"/>
                <w:sz w:val="22"/>
                <w:szCs w:val="22"/>
              </w:rPr>
              <w:t>trace</w:t>
            </w:r>
          </w:p>
        </w:tc>
        <w:tc>
          <w:tcPr>
            <w:tcW w:w="1170" w:type="dxa"/>
          </w:tcPr>
          <w:p w:rsidR="00714867" w:rsidRPr="008801EE" w:rsidRDefault="00714867" w:rsidP="008801EE">
            <w:pPr>
              <w:pStyle w:val="NoSpacing"/>
              <w:spacing w:line="240" w:lineRule="auto"/>
              <w:jc w:val="center"/>
              <w:rPr>
                <w:b w:val="0"/>
                <w:sz w:val="22"/>
                <w:szCs w:val="22"/>
              </w:rPr>
            </w:pPr>
            <w:r w:rsidRPr="008801EE">
              <w:rPr>
                <w:b w:val="0"/>
                <w:sz w:val="22"/>
                <w:szCs w:val="22"/>
              </w:rPr>
              <w:t>trace</w:t>
            </w:r>
          </w:p>
        </w:tc>
        <w:tc>
          <w:tcPr>
            <w:tcW w:w="1260" w:type="dxa"/>
          </w:tcPr>
          <w:p w:rsidR="00714867" w:rsidRPr="008801EE" w:rsidRDefault="00714867" w:rsidP="008801EE">
            <w:pPr>
              <w:pStyle w:val="NoSpacing"/>
              <w:spacing w:line="240" w:lineRule="auto"/>
              <w:jc w:val="center"/>
              <w:rPr>
                <w:b w:val="0"/>
                <w:sz w:val="22"/>
                <w:szCs w:val="22"/>
              </w:rPr>
            </w:pPr>
            <w:r w:rsidRPr="008801EE">
              <w:rPr>
                <w:b w:val="0"/>
                <w:sz w:val="22"/>
                <w:szCs w:val="22"/>
              </w:rPr>
              <w:t>trace</w:t>
            </w:r>
          </w:p>
        </w:tc>
        <w:tc>
          <w:tcPr>
            <w:tcW w:w="1440" w:type="dxa"/>
            <w:tcBorders>
              <w:right w:val="nil"/>
            </w:tcBorders>
          </w:tcPr>
          <w:p w:rsidR="00714867" w:rsidRPr="008801EE" w:rsidRDefault="00714867" w:rsidP="008801EE">
            <w:pPr>
              <w:pStyle w:val="NoSpacing"/>
              <w:spacing w:line="240" w:lineRule="auto"/>
              <w:jc w:val="center"/>
              <w:rPr>
                <w:b w:val="0"/>
                <w:sz w:val="22"/>
                <w:szCs w:val="22"/>
              </w:rPr>
            </w:pPr>
            <w:r w:rsidRPr="008801EE">
              <w:rPr>
                <w:b w:val="0"/>
                <w:sz w:val="22"/>
                <w:szCs w:val="22"/>
              </w:rPr>
              <w:t>Trace</w:t>
            </w:r>
          </w:p>
        </w:tc>
      </w:tr>
      <w:tr w:rsidR="00714867" w:rsidRPr="009D6F64" w:rsidTr="004576FB">
        <w:tc>
          <w:tcPr>
            <w:tcW w:w="1458" w:type="dxa"/>
            <w:tcBorders>
              <w:left w:val="nil"/>
              <w:bottom w:val="single" w:sz="4" w:space="0" w:color="auto"/>
            </w:tcBorders>
          </w:tcPr>
          <w:p w:rsidR="00714867" w:rsidRPr="008801EE" w:rsidRDefault="00714867" w:rsidP="008801EE">
            <w:pPr>
              <w:pStyle w:val="NoSpacing"/>
              <w:spacing w:line="240" w:lineRule="auto"/>
              <w:rPr>
                <w:b w:val="0"/>
                <w:sz w:val="22"/>
                <w:szCs w:val="22"/>
              </w:rPr>
            </w:pPr>
            <w:r w:rsidRPr="008801EE">
              <w:rPr>
                <w:b w:val="0"/>
                <w:sz w:val="22"/>
                <w:szCs w:val="22"/>
              </w:rPr>
              <w:t>H</w:t>
            </w:r>
            <w:r w:rsidRPr="008801EE">
              <w:rPr>
                <w:b w:val="0"/>
                <w:sz w:val="22"/>
                <w:szCs w:val="22"/>
                <w:vertAlign w:val="subscript"/>
              </w:rPr>
              <w:t>2</w:t>
            </w:r>
            <w:r w:rsidRPr="008801EE">
              <w:rPr>
                <w:b w:val="0"/>
                <w:sz w:val="22"/>
                <w:szCs w:val="22"/>
              </w:rPr>
              <w:t>% + other gases</w:t>
            </w:r>
          </w:p>
        </w:tc>
        <w:tc>
          <w:tcPr>
            <w:tcW w:w="1530" w:type="dxa"/>
            <w:tcBorders>
              <w:bottom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1-10</w:t>
            </w:r>
          </w:p>
        </w:tc>
        <w:tc>
          <w:tcPr>
            <w:tcW w:w="1225" w:type="dxa"/>
            <w:tcBorders>
              <w:bottom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1-6</w:t>
            </w:r>
          </w:p>
        </w:tc>
        <w:tc>
          <w:tcPr>
            <w:tcW w:w="1260" w:type="dxa"/>
            <w:tcBorders>
              <w:bottom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1-6</w:t>
            </w:r>
          </w:p>
        </w:tc>
        <w:tc>
          <w:tcPr>
            <w:tcW w:w="1170" w:type="dxa"/>
            <w:tcBorders>
              <w:bottom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1-6</w:t>
            </w:r>
          </w:p>
        </w:tc>
        <w:tc>
          <w:tcPr>
            <w:tcW w:w="1260" w:type="dxa"/>
            <w:tcBorders>
              <w:bottom w:val="single" w:sz="4" w:space="0" w:color="auto"/>
            </w:tcBorders>
          </w:tcPr>
          <w:p w:rsidR="00714867" w:rsidRPr="008801EE" w:rsidRDefault="00714867" w:rsidP="008801EE">
            <w:pPr>
              <w:pStyle w:val="NoSpacing"/>
              <w:spacing w:line="240" w:lineRule="auto"/>
              <w:jc w:val="center"/>
              <w:rPr>
                <w:b w:val="0"/>
                <w:sz w:val="22"/>
                <w:szCs w:val="22"/>
              </w:rPr>
            </w:pPr>
            <w:r w:rsidRPr="008801EE">
              <w:rPr>
                <w:b w:val="0"/>
                <w:sz w:val="22"/>
                <w:szCs w:val="22"/>
              </w:rPr>
              <w:t>1-6</w:t>
            </w:r>
          </w:p>
        </w:tc>
        <w:tc>
          <w:tcPr>
            <w:tcW w:w="1440" w:type="dxa"/>
            <w:tcBorders>
              <w:bottom w:val="single" w:sz="4" w:space="0" w:color="auto"/>
              <w:right w:val="nil"/>
            </w:tcBorders>
          </w:tcPr>
          <w:p w:rsidR="00714867" w:rsidRPr="008801EE" w:rsidRDefault="00714867" w:rsidP="008801EE">
            <w:pPr>
              <w:pStyle w:val="NoSpacing"/>
              <w:spacing w:line="240" w:lineRule="auto"/>
              <w:jc w:val="center"/>
              <w:rPr>
                <w:b w:val="0"/>
                <w:sz w:val="22"/>
                <w:szCs w:val="22"/>
              </w:rPr>
            </w:pPr>
            <w:r w:rsidRPr="008801EE">
              <w:rPr>
                <w:b w:val="0"/>
                <w:sz w:val="22"/>
                <w:szCs w:val="22"/>
              </w:rPr>
              <w:t>1-8</w:t>
            </w:r>
          </w:p>
        </w:tc>
      </w:tr>
    </w:tbl>
    <w:p w:rsidR="003B70B9" w:rsidRDefault="00714867" w:rsidP="00714867">
      <w:pPr>
        <w:spacing w:after="0" w:line="240" w:lineRule="auto"/>
        <w:jc w:val="both"/>
        <w:rPr>
          <w:rFonts w:ascii="Times New Roman" w:hAnsi="Times New Roman"/>
        </w:rPr>
      </w:pPr>
      <w:r w:rsidRPr="009D6F64">
        <w:rPr>
          <w:rFonts w:ascii="Times New Roman" w:hAnsi="Times New Roman"/>
        </w:rPr>
        <w:t xml:space="preserve">       </w:t>
      </w:r>
    </w:p>
    <w:p w:rsidR="00714867" w:rsidRPr="009D6F64" w:rsidRDefault="00714867" w:rsidP="00714867">
      <w:pPr>
        <w:spacing w:after="0" w:line="240" w:lineRule="auto"/>
        <w:jc w:val="both"/>
        <w:rPr>
          <w:rFonts w:ascii="Times New Roman" w:hAnsi="Times New Roman"/>
        </w:rPr>
      </w:pPr>
      <w:r w:rsidRPr="009D6F64">
        <w:rPr>
          <w:rFonts w:ascii="Times New Roman" w:hAnsi="Times New Roman"/>
        </w:rPr>
        <w:t>Biogas yields for different samples with different mixing ratios are shown i</w:t>
      </w:r>
      <w:r w:rsidR="00B96121" w:rsidRPr="009D6F64">
        <w:rPr>
          <w:rFonts w:ascii="Times New Roman" w:hAnsi="Times New Roman"/>
        </w:rPr>
        <w:t xml:space="preserve">n Figures 2 and 3. Figure 2 </w:t>
      </w:r>
      <w:r w:rsidRPr="009D6F64">
        <w:rPr>
          <w:rFonts w:ascii="Times New Roman" w:hAnsi="Times New Roman"/>
        </w:rPr>
        <w:t xml:space="preserve">shows biogas yield for goat dung and horse dung. The biogas production started soon after seeding the biogas digester with active inoculums, and kept increasing until reaching the peak and then began to decline. The retention time was 23 days for the trials. The goat dung produced the highest biogas yield of 900 </w:t>
      </w:r>
      <w:proofErr w:type="spellStart"/>
      <w:r w:rsidRPr="009D6F64">
        <w:rPr>
          <w:rFonts w:ascii="Times New Roman" w:hAnsi="Times New Roman"/>
        </w:rPr>
        <w:t>litres</w:t>
      </w:r>
      <w:proofErr w:type="spellEnd"/>
      <w:r w:rsidRPr="009D6F64">
        <w:rPr>
          <w:rFonts w:ascii="Times New Roman" w:hAnsi="Times New Roman"/>
        </w:rPr>
        <w:t xml:space="preserve"> on day 12, while horse dung produced the highest biogas yield of 813 </w:t>
      </w:r>
      <w:proofErr w:type="spellStart"/>
      <w:r w:rsidRPr="009D6F64">
        <w:rPr>
          <w:rFonts w:ascii="Times New Roman" w:hAnsi="Times New Roman"/>
        </w:rPr>
        <w:t>litres</w:t>
      </w:r>
      <w:proofErr w:type="spellEnd"/>
      <w:r w:rsidRPr="009D6F64">
        <w:rPr>
          <w:rFonts w:ascii="Times New Roman" w:hAnsi="Times New Roman"/>
        </w:rPr>
        <w:t xml:space="preserve"> on day 13. There was difference of 87 </w:t>
      </w:r>
      <w:proofErr w:type="spellStart"/>
      <w:r w:rsidRPr="009D6F64">
        <w:rPr>
          <w:rFonts w:ascii="Times New Roman" w:hAnsi="Times New Roman"/>
        </w:rPr>
        <w:t>litres</w:t>
      </w:r>
      <w:proofErr w:type="spellEnd"/>
      <w:r w:rsidRPr="009D6F64">
        <w:rPr>
          <w:rFonts w:ascii="Times New Roman" w:hAnsi="Times New Roman"/>
        </w:rPr>
        <w:t xml:space="preserve"> between the two peaks of cow dung and horse dung.    The cumulative biogas yield of cow up to the peak was 4670.19 </w:t>
      </w:r>
      <w:proofErr w:type="spellStart"/>
      <w:r w:rsidRPr="009D6F64">
        <w:rPr>
          <w:rFonts w:ascii="Times New Roman" w:hAnsi="Times New Roman"/>
        </w:rPr>
        <w:t>litres</w:t>
      </w:r>
      <w:proofErr w:type="spellEnd"/>
      <w:r w:rsidRPr="009D6F64">
        <w:rPr>
          <w:rFonts w:ascii="Times New Roman" w:hAnsi="Times New Roman"/>
        </w:rPr>
        <w:t xml:space="preserve">. This was 63% of the total biogas yield within a hydraulic retention period of 23 days. However, cumulative biogas yield of horse dung up to the peak was 4492.52 </w:t>
      </w:r>
      <w:proofErr w:type="spellStart"/>
      <w:r w:rsidRPr="009D6F64">
        <w:rPr>
          <w:rFonts w:ascii="Times New Roman" w:hAnsi="Times New Roman"/>
        </w:rPr>
        <w:t>litres</w:t>
      </w:r>
      <w:proofErr w:type="spellEnd"/>
      <w:r w:rsidRPr="009D6F64">
        <w:rPr>
          <w:rFonts w:ascii="Times New Roman" w:hAnsi="Times New Roman"/>
        </w:rPr>
        <w:t xml:space="preserve">. This was 63% of the total biogas yield within a hydraulic retention period.  For goat dung, as from day 13, there was a decrease in biogas production until the production levels off, while for horse dung, biogas production decreased as from day 14. On average, the biogas production from goat dung was 336 L/day and for horse dung was 324 L/day. It was observed that in all trials there was very low gas production after a retention time of 20 days. This indicated that the gas content within the substrate was almost given off. </w:t>
      </w:r>
    </w:p>
    <w:p w:rsidR="00714867" w:rsidRPr="009D6F64" w:rsidRDefault="00714867" w:rsidP="00714867">
      <w:pPr>
        <w:spacing w:after="0" w:line="240" w:lineRule="auto"/>
        <w:jc w:val="both"/>
        <w:rPr>
          <w:rFonts w:ascii="Times New Roman" w:hAnsi="Times New Roman"/>
        </w:rPr>
      </w:pPr>
      <w:r w:rsidRPr="009D6F64">
        <w:rPr>
          <w:rFonts w:ascii="Times New Roman" w:hAnsi="Times New Roman"/>
        </w:rPr>
        <w:t xml:space="preserve">       Goat dung had slightly a higher biogas yield than horse dung. This has been attributed by its high TS/VS ratio. Goat dung is easily biodegradable as compared to horse dung. Theoretically, horse dung produces more biogas than goat dung because of its carbon/nitrogen ratio of 25:1. Horse dung does not have the right bacteria in their guts to digest cellulose in plant material unlike goat dung. The dung is made of indigestible matter. The subsidiary peaks in the gas production in horse dung are a result of the presence of high lignin and cellulose in the wastes which are </w:t>
      </w:r>
      <w:r w:rsidRPr="009D6F64">
        <w:rPr>
          <w:rFonts w:ascii="Times New Roman" w:eastAsiaTheme="minorHAnsi" w:hAnsi="Times New Roman"/>
        </w:rPr>
        <w:t>resistant to enzymatic degradation and hence, biogas production is low.</w:t>
      </w:r>
      <w:r w:rsidRPr="009D6F64">
        <w:rPr>
          <w:rFonts w:ascii="Times New Roman" w:hAnsi="Times New Roman"/>
        </w:rPr>
        <w:t xml:space="preserve"> There are more peaks for mono-digestion than when horse dung is digested with other wastes. Pre-treatment of horse </w:t>
      </w:r>
      <w:r w:rsidR="00550E88">
        <w:rPr>
          <w:rFonts w:ascii="Times New Roman" w:hAnsi="Times New Roman"/>
        </w:rPr>
        <w:t xml:space="preserve">dung </w:t>
      </w:r>
      <w:r w:rsidRPr="009D6F64">
        <w:rPr>
          <w:rFonts w:ascii="Times New Roman" w:hAnsi="Times New Roman"/>
        </w:rPr>
        <w:t>by use of grinding would greatly increase biogas production thereby minimizing these peaks. Minor peaks are seen on mono-digestion on goat dung. Biogas production increased when goat dung and horse dung were co-digested together at different mixing ratios. This is consistent with other researches that stated that more than one kind of substrate could establish positive synergism in the biogas digester (</w:t>
      </w:r>
      <w:proofErr w:type="spellStart"/>
      <w:r w:rsidRPr="009D6F64">
        <w:rPr>
          <w:rFonts w:ascii="Times New Roman" w:hAnsi="Times New Roman"/>
        </w:rPr>
        <w:t>Iyagba</w:t>
      </w:r>
      <w:proofErr w:type="spellEnd"/>
      <w:r w:rsidRPr="009D6F64">
        <w:rPr>
          <w:rFonts w:ascii="Times New Roman" w:hAnsi="Times New Roman"/>
        </w:rPr>
        <w:t xml:space="preserve"> </w:t>
      </w:r>
      <w:r w:rsidRPr="009D6F64">
        <w:rPr>
          <w:rFonts w:ascii="Times New Roman" w:hAnsi="Times New Roman"/>
          <w:i/>
        </w:rPr>
        <w:t>et al.,</w:t>
      </w:r>
      <w:r w:rsidRPr="009D6F64">
        <w:rPr>
          <w:rFonts w:ascii="Times New Roman" w:hAnsi="Times New Roman"/>
        </w:rPr>
        <w:t xml:space="preserve"> 2009; Li </w:t>
      </w:r>
      <w:r w:rsidRPr="009D6F64">
        <w:rPr>
          <w:rFonts w:ascii="Times New Roman" w:hAnsi="Times New Roman"/>
          <w:i/>
        </w:rPr>
        <w:t>et al.,</w:t>
      </w:r>
      <w:r w:rsidRPr="009D6F64">
        <w:rPr>
          <w:rFonts w:ascii="Times New Roman" w:hAnsi="Times New Roman"/>
        </w:rPr>
        <w:t xml:space="preserve"> 2011; </w:t>
      </w:r>
      <w:proofErr w:type="spellStart"/>
      <w:r w:rsidRPr="009D6F64">
        <w:rPr>
          <w:rFonts w:ascii="Times New Roman" w:hAnsi="Times New Roman"/>
        </w:rPr>
        <w:t>Misi</w:t>
      </w:r>
      <w:proofErr w:type="spellEnd"/>
      <w:r w:rsidRPr="009D6F64">
        <w:rPr>
          <w:rFonts w:ascii="Times New Roman" w:hAnsi="Times New Roman"/>
        </w:rPr>
        <w:t xml:space="preserve"> 2001; </w:t>
      </w:r>
      <w:proofErr w:type="spellStart"/>
      <w:r w:rsidRPr="009D6F64">
        <w:rPr>
          <w:rFonts w:ascii="Times New Roman" w:hAnsi="Times New Roman"/>
        </w:rPr>
        <w:t>Mukumba</w:t>
      </w:r>
      <w:proofErr w:type="spellEnd"/>
      <w:r w:rsidRPr="009D6F64">
        <w:rPr>
          <w:rFonts w:ascii="Times New Roman" w:hAnsi="Times New Roman"/>
        </w:rPr>
        <w:t xml:space="preserve"> </w:t>
      </w:r>
      <w:r w:rsidRPr="009D6F64">
        <w:rPr>
          <w:rFonts w:ascii="Times New Roman" w:hAnsi="Times New Roman"/>
          <w:i/>
        </w:rPr>
        <w:t xml:space="preserve">et al., </w:t>
      </w:r>
      <w:r w:rsidRPr="009D6F64">
        <w:rPr>
          <w:rFonts w:ascii="Times New Roman" w:hAnsi="Times New Roman"/>
        </w:rPr>
        <w:t xml:space="preserve">2011; </w:t>
      </w:r>
      <w:proofErr w:type="spellStart"/>
      <w:r w:rsidRPr="009D6F64">
        <w:rPr>
          <w:rFonts w:ascii="Times New Roman" w:hAnsi="Times New Roman"/>
        </w:rPr>
        <w:t>Uzodinma</w:t>
      </w:r>
      <w:proofErr w:type="spellEnd"/>
      <w:r w:rsidRPr="009D6F64">
        <w:rPr>
          <w:rFonts w:ascii="Times New Roman" w:hAnsi="Times New Roman"/>
        </w:rPr>
        <w:t xml:space="preserve"> </w:t>
      </w:r>
      <w:r w:rsidRPr="009D6F64">
        <w:rPr>
          <w:rFonts w:ascii="Times New Roman" w:hAnsi="Times New Roman"/>
          <w:i/>
        </w:rPr>
        <w:t>et al.,</w:t>
      </w:r>
      <w:r w:rsidRPr="009D6F64">
        <w:rPr>
          <w:rFonts w:ascii="Times New Roman" w:hAnsi="Times New Roman"/>
        </w:rPr>
        <w:t xml:space="preserve"> 2009).</w:t>
      </w:r>
    </w:p>
    <w:p w:rsidR="00714867" w:rsidRDefault="00714867" w:rsidP="00714867">
      <w:pPr>
        <w:spacing w:after="0" w:line="240" w:lineRule="auto"/>
        <w:jc w:val="both"/>
        <w:rPr>
          <w:rFonts w:ascii="Times New Roman" w:hAnsi="Times New Roman"/>
        </w:rPr>
      </w:pPr>
    </w:p>
    <w:p w:rsidR="008801EE" w:rsidRPr="009D6F64" w:rsidRDefault="008801EE" w:rsidP="00714867">
      <w:pPr>
        <w:spacing w:after="0" w:line="240" w:lineRule="auto"/>
        <w:jc w:val="both"/>
        <w:rPr>
          <w:rFonts w:ascii="Times New Roman" w:hAnsi="Times New Roman"/>
        </w:rPr>
      </w:pPr>
    </w:p>
    <w:p w:rsidR="00714867" w:rsidRPr="009D6F64" w:rsidRDefault="00C4698C" w:rsidP="0050326C">
      <w:pPr>
        <w:spacing w:after="0" w:line="240" w:lineRule="auto"/>
        <w:jc w:val="center"/>
        <w:rPr>
          <w:rFonts w:ascii="Times New Roman" w:hAnsi="Times New Roman"/>
        </w:rPr>
      </w:pPr>
      <w:r w:rsidRPr="009D6F64">
        <w:rPr>
          <w:rFonts w:ascii="Times New Roman" w:hAnsi="Times New Roman"/>
          <w:noProof/>
        </w:rPr>
        <w:drawing>
          <wp:inline distT="0" distB="0" distL="0" distR="0">
            <wp:extent cx="6055018" cy="234363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0CEE" w:rsidRPr="009D6F64" w:rsidRDefault="009A0786" w:rsidP="00714867">
      <w:pPr>
        <w:pStyle w:val="NoSpacing"/>
        <w:spacing w:line="240" w:lineRule="auto"/>
        <w:rPr>
          <w:b w:val="0"/>
          <w:color w:val="auto"/>
          <w:sz w:val="22"/>
          <w:szCs w:val="22"/>
          <w:lang w:val="en-US"/>
        </w:rPr>
      </w:pPr>
      <w:r w:rsidRPr="009A0786">
        <w:rPr>
          <w:noProof/>
        </w:rPr>
        <w:pict>
          <v:shape id="_x0000_s1027" type="#_x0000_t202" style="position:absolute;left:0;text-align:left;margin-left:96.6pt;margin-top:.95pt;width:316.2pt;height:21.2pt;z-index:251661312" stroked="f">
            <v:textbox style="mso-next-textbox:#_x0000_s1027">
              <w:txbxContent>
                <w:p w:rsidR="00714867" w:rsidRPr="00AA7BF3" w:rsidRDefault="00714867" w:rsidP="00714867">
                  <w:pPr>
                    <w:jc w:val="center"/>
                    <w:rPr>
                      <w:rFonts w:ascii="Times New Roman" w:hAnsi="Times New Roman"/>
                    </w:rPr>
                  </w:pPr>
                  <w:r w:rsidRPr="00AA7BF3">
                    <w:rPr>
                      <w:rFonts w:ascii="Times New Roman" w:hAnsi="Times New Roman"/>
                      <w:b/>
                    </w:rPr>
                    <w:t>Figure</w:t>
                  </w:r>
                  <w:r w:rsidR="00B6723F">
                    <w:rPr>
                      <w:rFonts w:ascii="Times New Roman" w:hAnsi="Times New Roman"/>
                      <w:b/>
                    </w:rPr>
                    <w:t xml:space="preserve"> 2</w:t>
                  </w:r>
                  <w:r>
                    <w:rPr>
                      <w:rFonts w:ascii="Times New Roman" w:hAnsi="Times New Roman"/>
                      <w:b/>
                    </w:rPr>
                    <w:t>.</w:t>
                  </w:r>
                  <w:r>
                    <w:rPr>
                      <w:rFonts w:ascii="Times New Roman" w:hAnsi="Times New Roman"/>
                    </w:rPr>
                    <w:t xml:space="preserve"> Biogas yield for horse and goat dung</w:t>
                  </w:r>
                </w:p>
                <w:p w:rsidR="00714867" w:rsidRDefault="00714867" w:rsidP="00714867"/>
              </w:txbxContent>
            </v:textbox>
          </v:shape>
        </w:pict>
      </w:r>
    </w:p>
    <w:p w:rsidR="002021B6" w:rsidRDefault="003C0CEE" w:rsidP="00714867">
      <w:pPr>
        <w:pStyle w:val="NoSpacing"/>
        <w:spacing w:line="240" w:lineRule="auto"/>
        <w:rPr>
          <w:b w:val="0"/>
          <w:color w:val="auto"/>
          <w:sz w:val="22"/>
          <w:szCs w:val="22"/>
          <w:lang w:val="en-US"/>
        </w:rPr>
      </w:pPr>
      <w:r w:rsidRPr="009D6F64">
        <w:rPr>
          <w:b w:val="0"/>
          <w:color w:val="auto"/>
          <w:sz w:val="22"/>
          <w:szCs w:val="22"/>
          <w:lang w:val="en-US"/>
        </w:rPr>
        <w:t xml:space="preserve">     </w:t>
      </w:r>
    </w:p>
    <w:p w:rsidR="00714867" w:rsidRPr="009D6F64" w:rsidRDefault="003C0CEE" w:rsidP="00714867">
      <w:pPr>
        <w:pStyle w:val="NoSpacing"/>
        <w:spacing w:line="240" w:lineRule="auto"/>
        <w:rPr>
          <w:b w:val="0"/>
          <w:sz w:val="22"/>
          <w:szCs w:val="22"/>
        </w:rPr>
      </w:pPr>
      <w:r w:rsidRPr="009D6F64">
        <w:rPr>
          <w:b w:val="0"/>
          <w:color w:val="auto"/>
          <w:sz w:val="22"/>
          <w:szCs w:val="22"/>
          <w:lang w:val="en-US"/>
        </w:rPr>
        <w:t xml:space="preserve"> </w:t>
      </w:r>
      <w:r w:rsidR="00DB2A2A" w:rsidRPr="009D6F64">
        <w:rPr>
          <w:b w:val="0"/>
          <w:sz w:val="22"/>
          <w:szCs w:val="22"/>
        </w:rPr>
        <w:t>Figure 3</w:t>
      </w:r>
      <w:r w:rsidR="00714867" w:rsidRPr="009D6F64">
        <w:rPr>
          <w:b w:val="0"/>
          <w:sz w:val="22"/>
          <w:szCs w:val="22"/>
        </w:rPr>
        <w:t xml:space="preserve"> shows biogas production in litres for co-digestion of 40% horse dung and 60% goat dung, 50% horse dung and 50% goat dung, 60% horse dung and 40% goat dung, 75% horse dung and 25% goat dung. The highest biogas yield was made up of 40% horse dung and 60% goat dung. This was followed by the treatment made up of 50% horse dung and 50% goat dung. The mixing ratio of 75% horse dung and 25% goat dung produced the lowest biogas yield. This was attributed by an unstable pH resulting in poor buffering, thus lowering biogas production. The retention time for the co-digested trials was 23 days. The mixing ratio of 60% horse dung and 40 % goat dung produced a peak cumulative biogas yield of 64% in 11 days which was 6044 litres  while the mixing ratio of 75% horse dung and 25 % goat dung,  produced cumulative biogas yield of 5825 litres in 12 days. However, the mixing ratio 50% horse dung and 50% goat dung produced cumulative biogas yield within the first 11 days which was 61% of the total biogas yield which was 6498 litres. For the 40% horse dung and 60% goat dung, the maximum biogas yield was 6776 litres which was 62% of the total biogas yield attained in the first 10 days. However, for all the co-substrates used there was a decrease in biogas production until the production levels off. </w:t>
      </w:r>
    </w:p>
    <w:p w:rsidR="00714867" w:rsidRPr="009D6F64" w:rsidRDefault="00714867" w:rsidP="00714867">
      <w:pPr>
        <w:pStyle w:val="NoSpacing"/>
        <w:spacing w:line="240" w:lineRule="auto"/>
        <w:rPr>
          <w:b w:val="0"/>
          <w:sz w:val="22"/>
          <w:szCs w:val="22"/>
        </w:rPr>
      </w:pPr>
      <w:r w:rsidRPr="009D6F64">
        <w:rPr>
          <w:b w:val="0"/>
          <w:sz w:val="22"/>
          <w:szCs w:val="22"/>
        </w:rPr>
        <w:t xml:space="preserve">      The average biogas production per day, for the 60% horse dung and 40 % goat dung, for the 75% horse dung and 25 % goat dung, for the 50% horse dung and 50% goat dung and for the 40% horse dung and 60% goat were 429 litres, 401 litres, 484 litres and 500 litres respectively. </w:t>
      </w:r>
    </w:p>
    <w:p w:rsidR="00714867" w:rsidRPr="009D6F64" w:rsidRDefault="00714867" w:rsidP="00714867">
      <w:pPr>
        <w:pStyle w:val="NoSpacing"/>
        <w:spacing w:line="240" w:lineRule="auto"/>
        <w:rPr>
          <w:b w:val="0"/>
          <w:sz w:val="22"/>
          <w:szCs w:val="22"/>
        </w:rPr>
      </w:pPr>
      <w:r w:rsidRPr="009D6F64">
        <w:rPr>
          <w:b w:val="0"/>
          <w:sz w:val="22"/>
          <w:szCs w:val="22"/>
        </w:rPr>
        <w:t xml:space="preserve">       </w:t>
      </w:r>
    </w:p>
    <w:p w:rsidR="00714867" w:rsidRPr="009D6F64" w:rsidRDefault="009A0786" w:rsidP="008B1DAD">
      <w:pPr>
        <w:jc w:val="center"/>
        <w:rPr>
          <w:rFonts w:ascii="Times New Roman" w:hAnsi="Times New Roman"/>
        </w:rPr>
      </w:pPr>
      <w:r w:rsidRPr="009A0786">
        <w:rPr>
          <w:rFonts w:ascii="Times New Roman" w:eastAsia="Times New Roman" w:hAnsi="Times New Roman"/>
          <w:noProof/>
          <w:color w:val="000000"/>
          <w:lang w:val="en-ZW"/>
        </w:rPr>
        <w:pict>
          <v:shape id="_x0000_s1026" type="#_x0000_t202" style="position:absolute;left:0;text-align:left;margin-left:100.9pt;margin-top:217.7pt;width:237.55pt;height:22.4pt;z-index:251660288" stroked="f">
            <v:textbox style="mso-next-textbox:#_x0000_s1026">
              <w:txbxContent>
                <w:p w:rsidR="00714867" w:rsidRPr="005B3CD3" w:rsidRDefault="00DB2A2A" w:rsidP="00714867">
                  <w:pPr>
                    <w:jc w:val="right"/>
                    <w:rPr>
                      <w:rFonts w:ascii="Times New Roman" w:hAnsi="Times New Roman"/>
                    </w:rPr>
                  </w:pPr>
                  <w:r>
                    <w:rPr>
                      <w:rFonts w:ascii="Times New Roman" w:hAnsi="Times New Roman"/>
                      <w:b/>
                    </w:rPr>
                    <w:t>Figure 3</w:t>
                  </w:r>
                  <w:r w:rsidR="00714867">
                    <w:rPr>
                      <w:rFonts w:ascii="Times New Roman" w:hAnsi="Times New Roman"/>
                      <w:b/>
                    </w:rPr>
                    <w:t>.</w:t>
                  </w:r>
                  <w:r w:rsidR="00714867">
                    <w:rPr>
                      <w:rFonts w:ascii="Times New Roman" w:hAnsi="Times New Roman"/>
                    </w:rPr>
                    <w:t xml:space="preserve"> Biogas yield for the treatments</w:t>
                  </w:r>
                </w:p>
                <w:p w:rsidR="00714867" w:rsidRDefault="00714867" w:rsidP="00714867"/>
              </w:txbxContent>
            </v:textbox>
          </v:shape>
        </w:pict>
      </w:r>
      <w:r w:rsidR="00714867" w:rsidRPr="009D6F64">
        <w:rPr>
          <w:rFonts w:ascii="Times New Roman" w:hAnsi="Times New Roman"/>
          <w:noProof/>
        </w:rPr>
        <w:drawing>
          <wp:inline distT="0" distB="0" distL="0" distR="0">
            <wp:extent cx="6016598" cy="2750884"/>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14867" w:rsidRDefault="00714867" w:rsidP="00714867">
      <w:pPr>
        <w:spacing w:after="0" w:line="240" w:lineRule="auto"/>
        <w:jc w:val="both"/>
        <w:rPr>
          <w:rFonts w:ascii="Times New Roman" w:hAnsi="Times New Roman"/>
        </w:rPr>
      </w:pPr>
    </w:p>
    <w:p w:rsidR="0050326C" w:rsidRPr="009D6F64" w:rsidRDefault="0050326C" w:rsidP="00714867">
      <w:pPr>
        <w:spacing w:after="0" w:line="240" w:lineRule="auto"/>
        <w:jc w:val="both"/>
        <w:rPr>
          <w:rFonts w:ascii="Times New Roman" w:hAnsi="Times New Roman"/>
        </w:rPr>
      </w:pPr>
    </w:p>
    <w:p w:rsidR="00714867" w:rsidRPr="009D6F64" w:rsidRDefault="00714867" w:rsidP="00714867">
      <w:pPr>
        <w:spacing w:after="0" w:line="240" w:lineRule="auto"/>
        <w:jc w:val="both"/>
        <w:rPr>
          <w:rFonts w:ascii="Times New Roman" w:hAnsi="Times New Roman"/>
        </w:rPr>
      </w:pPr>
      <w:r w:rsidRPr="009D6F64">
        <w:rPr>
          <w:rFonts w:ascii="Times New Roman" w:hAnsi="Times New Roman"/>
        </w:rPr>
        <w:t xml:space="preserve">      The co-digestion of 40% horse dung and 60% goat dung produced the highest biogas with the highest methane content. The co-digestion of 40% horse dung and 60% goat dung produced the higher yield of methane content of 60-75% than previous studies on co-digestion of horse dung with sludge that produced biogas with a methane yield of about 67% (</w:t>
      </w:r>
      <w:proofErr w:type="spellStart"/>
      <w:r w:rsidRPr="009D6F64">
        <w:rPr>
          <w:rFonts w:ascii="Times New Roman" w:hAnsi="Times New Roman"/>
        </w:rPr>
        <w:t>Agayev</w:t>
      </w:r>
      <w:proofErr w:type="spellEnd"/>
      <w:r w:rsidRPr="009D6F64">
        <w:rPr>
          <w:rFonts w:ascii="Times New Roman" w:hAnsi="Times New Roman"/>
        </w:rPr>
        <w:t xml:space="preserve"> and </w:t>
      </w:r>
      <w:proofErr w:type="spellStart"/>
      <w:r w:rsidRPr="009D6F64">
        <w:rPr>
          <w:rFonts w:ascii="Times New Roman" w:hAnsi="Times New Roman"/>
        </w:rPr>
        <w:t>Egurglu</w:t>
      </w:r>
      <w:proofErr w:type="spellEnd"/>
      <w:r w:rsidRPr="009D6F64">
        <w:rPr>
          <w:rFonts w:ascii="Times New Roman" w:hAnsi="Times New Roman"/>
        </w:rPr>
        <w:t xml:space="preserve"> 2011).</w:t>
      </w:r>
      <w:r w:rsidRPr="009D6F64">
        <w:rPr>
          <w:rFonts w:ascii="Times New Roman" w:eastAsia="Times New Roman" w:hAnsi="Times New Roman"/>
          <w:color w:val="000000"/>
        </w:rPr>
        <w:t xml:space="preserve"> </w:t>
      </w:r>
      <w:r w:rsidRPr="009D6F64">
        <w:rPr>
          <w:rFonts w:ascii="Times New Roman" w:hAnsi="Times New Roman"/>
        </w:rPr>
        <w:t>Horse dung has a carbon: nitrogen ratio of 25:1 (</w:t>
      </w:r>
      <w:proofErr w:type="spellStart"/>
      <w:r w:rsidRPr="009D6F64">
        <w:rPr>
          <w:rFonts w:ascii="Times New Roman" w:hAnsi="Times New Roman"/>
        </w:rPr>
        <w:t>Fulford</w:t>
      </w:r>
      <w:proofErr w:type="spellEnd"/>
      <w:r w:rsidRPr="009D6F64">
        <w:rPr>
          <w:rFonts w:ascii="Times New Roman" w:hAnsi="Times New Roman"/>
        </w:rPr>
        <w:t>, 2001), while goat dung has a ratio of 12:1 (</w:t>
      </w:r>
      <w:proofErr w:type="spellStart"/>
      <w:r w:rsidRPr="009D6F64">
        <w:rPr>
          <w:rFonts w:ascii="Times New Roman" w:hAnsi="Times New Roman"/>
        </w:rPr>
        <w:t>Nijaguna</w:t>
      </w:r>
      <w:proofErr w:type="spellEnd"/>
      <w:r w:rsidRPr="009D6F64">
        <w:rPr>
          <w:rFonts w:ascii="Times New Roman" w:hAnsi="Times New Roman"/>
        </w:rPr>
        <w:t xml:space="preserve">, 2002). This means horse dung has a high carbon-nitrogen ratio than goat dung. Therefore, co-digestion of horse dung and goat dung increases biogas yield due to supply of mixing nutrients to the co-substrates. </w:t>
      </w:r>
    </w:p>
    <w:p w:rsidR="00714867" w:rsidRPr="009D6F64" w:rsidRDefault="00714867" w:rsidP="00714867">
      <w:pPr>
        <w:spacing w:after="0" w:line="240" w:lineRule="auto"/>
        <w:jc w:val="both"/>
        <w:rPr>
          <w:rFonts w:ascii="Times New Roman" w:hAnsi="Times New Roman"/>
        </w:rPr>
      </w:pPr>
      <w:r w:rsidRPr="009D6F64">
        <w:rPr>
          <w:rFonts w:ascii="Times New Roman" w:hAnsi="Times New Roman"/>
        </w:rPr>
        <w:t xml:space="preserve">      Treatment made up of 60% horse dung and 40% donkey dung had few subsidiary peaks than the treatment made up of 75% horse dung and 25% goat dung. The peaks are an indication of high </w:t>
      </w:r>
      <w:proofErr w:type="spellStart"/>
      <w:r w:rsidRPr="009D6F64">
        <w:rPr>
          <w:rFonts w:ascii="Times New Roman" w:hAnsi="Times New Roman"/>
        </w:rPr>
        <w:t>ligninostic</w:t>
      </w:r>
      <w:proofErr w:type="spellEnd"/>
      <w:r w:rsidRPr="009D6F64">
        <w:rPr>
          <w:rFonts w:ascii="Times New Roman" w:hAnsi="Times New Roman"/>
        </w:rPr>
        <w:t xml:space="preserve"> material in horse dung that disturbed </w:t>
      </w:r>
      <w:proofErr w:type="spellStart"/>
      <w:r w:rsidRPr="009D6F64">
        <w:rPr>
          <w:rFonts w:ascii="Times New Roman" w:hAnsi="Times New Roman"/>
        </w:rPr>
        <w:t>methanogenesis</w:t>
      </w:r>
      <w:proofErr w:type="spellEnd"/>
      <w:r w:rsidRPr="009D6F64">
        <w:rPr>
          <w:rFonts w:ascii="Times New Roman" w:hAnsi="Times New Roman"/>
        </w:rPr>
        <w:t xml:space="preserve"> processes. It was observed that increase in lignin-cellulosic wastes resulted in unstable pH which is associated with poor buffering causing volatile fatty acids accumulation. Consequently, </w:t>
      </w:r>
      <w:proofErr w:type="spellStart"/>
      <w:r w:rsidRPr="009D6F64">
        <w:rPr>
          <w:rFonts w:ascii="Times New Roman" w:hAnsi="Times New Roman"/>
        </w:rPr>
        <w:t>biomethation</w:t>
      </w:r>
      <w:proofErr w:type="spellEnd"/>
      <w:r w:rsidRPr="009D6F64">
        <w:rPr>
          <w:rFonts w:ascii="Times New Roman" w:hAnsi="Times New Roman"/>
        </w:rPr>
        <w:t xml:space="preserve"> processes were affected due to the increase in acids which could not all be taken up by the </w:t>
      </w:r>
      <w:proofErr w:type="spellStart"/>
      <w:r w:rsidRPr="009D6F64">
        <w:rPr>
          <w:rFonts w:ascii="Times New Roman" w:hAnsi="Times New Roman"/>
        </w:rPr>
        <w:t>methanogens</w:t>
      </w:r>
      <w:proofErr w:type="spellEnd"/>
      <w:r w:rsidRPr="009D6F64">
        <w:rPr>
          <w:rFonts w:ascii="Times New Roman" w:hAnsi="Times New Roman"/>
        </w:rPr>
        <w:t xml:space="preserve">. This increased acidic conditions of the </w:t>
      </w:r>
      <w:proofErr w:type="spellStart"/>
      <w:r w:rsidRPr="009D6F64">
        <w:rPr>
          <w:rFonts w:ascii="Times New Roman" w:hAnsi="Times New Roman"/>
        </w:rPr>
        <w:t>methanogens</w:t>
      </w:r>
      <w:proofErr w:type="spellEnd"/>
      <w:r w:rsidRPr="009D6F64">
        <w:rPr>
          <w:rFonts w:ascii="Times New Roman" w:hAnsi="Times New Roman"/>
        </w:rPr>
        <w:t xml:space="preserve">. Hydrolysis and acidifying micro-organisms prefer an acid environment (pH 4.5 to 6.0). However, </w:t>
      </w:r>
      <w:proofErr w:type="spellStart"/>
      <w:r w:rsidRPr="009D6F64">
        <w:rPr>
          <w:rFonts w:ascii="Times New Roman" w:hAnsi="Times New Roman"/>
        </w:rPr>
        <w:t>methanogens</w:t>
      </w:r>
      <w:proofErr w:type="spellEnd"/>
      <w:r w:rsidRPr="009D6F64">
        <w:rPr>
          <w:rFonts w:ascii="Times New Roman" w:hAnsi="Times New Roman"/>
        </w:rPr>
        <w:t xml:space="preserve"> prefer neutral conditions with pH between 6.8 and 7.5. Most </w:t>
      </w:r>
      <w:proofErr w:type="spellStart"/>
      <w:r w:rsidRPr="009D6F64">
        <w:rPr>
          <w:rFonts w:ascii="Times New Roman" w:hAnsi="Times New Roman"/>
        </w:rPr>
        <w:t>methanogens</w:t>
      </w:r>
      <w:proofErr w:type="spellEnd"/>
      <w:r w:rsidRPr="009D6F64">
        <w:rPr>
          <w:rFonts w:ascii="Times New Roman" w:hAnsi="Times New Roman"/>
        </w:rPr>
        <w:t xml:space="preserve"> will die if pH is below 6.6</w:t>
      </w:r>
      <w:r w:rsidR="00550E88">
        <w:rPr>
          <w:rFonts w:ascii="Times New Roman" w:hAnsi="Times New Roman"/>
        </w:rPr>
        <w:t>.</w:t>
      </w:r>
      <w:r w:rsidRPr="009D6F64">
        <w:rPr>
          <w:rFonts w:ascii="Times New Roman" w:hAnsi="Times New Roman"/>
        </w:rPr>
        <w:t xml:space="preserve"> Therefore, to produce more biogas from horse dung, pretreatment techniques such as grinding of the dung to increase its biodegradability should be applied. In all digestion trials the temperature ranges between 29 - 33 °C.</w:t>
      </w:r>
    </w:p>
    <w:p w:rsidR="008801EE" w:rsidRDefault="008801EE" w:rsidP="00714867">
      <w:pPr>
        <w:pStyle w:val="NoSpacing"/>
        <w:spacing w:line="240" w:lineRule="auto"/>
        <w:rPr>
          <w:sz w:val="22"/>
          <w:szCs w:val="22"/>
        </w:rPr>
      </w:pPr>
    </w:p>
    <w:p w:rsidR="00714867" w:rsidRPr="009D6F64" w:rsidRDefault="00714867" w:rsidP="00714867">
      <w:pPr>
        <w:pStyle w:val="NoSpacing"/>
        <w:spacing w:line="240" w:lineRule="auto"/>
        <w:rPr>
          <w:sz w:val="22"/>
          <w:szCs w:val="22"/>
        </w:rPr>
      </w:pPr>
      <w:r w:rsidRPr="009D6F64">
        <w:rPr>
          <w:sz w:val="22"/>
          <w:szCs w:val="22"/>
        </w:rPr>
        <w:t>4. Conclusion</w:t>
      </w:r>
    </w:p>
    <w:p w:rsidR="00714867" w:rsidRPr="009D6F64" w:rsidRDefault="00714867" w:rsidP="00714867">
      <w:pPr>
        <w:spacing w:after="0" w:line="240" w:lineRule="auto"/>
        <w:jc w:val="both"/>
        <w:rPr>
          <w:rFonts w:ascii="Times New Roman" w:hAnsi="Times New Roman"/>
        </w:rPr>
      </w:pPr>
      <w:r w:rsidRPr="009D6F64">
        <w:rPr>
          <w:rFonts w:ascii="Times New Roman" w:hAnsi="Times New Roman"/>
        </w:rPr>
        <w:t>There were variations in methane content for different treatments. The highest biogas yield with the highest methane content was obtained from mixing ratio 40% horse dung and 60% goat dung. However, the mixing ratio of 75% horse dung and 25% goat dung produced the lowest biogas with the lowest methane yield. It can be concluded that co-digestion horse dung and goat dung greatly increases biogas. However, for higher biogas yields, pre-treatment of horse dung is required before co-digestion. Analysis of the results reveals that biogas potential can be enhanced by addition of lime (calcium oxide) that inhibits pH fluctuations especially when horse dung is used as a co-substrate.</w:t>
      </w:r>
    </w:p>
    <w:p w:rsidR="0050326C" w:rsidRPr="0050326C" w:rsidRDefault="00714867" w:rsidP="0050326C">
      <w:pPr>
        <w:spacing w:after="0" w:line="240" w:lineRule="auto"/>
        <w:jc w:val="both"/>
        <w:rPr>
          <w:rFonts w:ascii="Times New Roman" w:eastAsia="Times New Roman" w:hAnsi="Times New Roman"/>
          <w:color w:val="000000"/>
        </w:rPr>
      </w:pPr>
      <w:r w:rsidRPr="009D6F64">
        <w:rPr>
          <w:rFonts w:ascii="Times New Roman" w:hAnsi="Times New Roman"/>
        </w:rPr>
        <w:t xml:space="preserve">     </w:t>
      </w:r>
    </w:p>
    <w:p w:rsidR="00714867" w:rsidRPr="009D6F64" w:rsidRDefault="00714867" w:rsidP="00714867">
      <w:pPr>
        <w:spacing w:line="240" w:lineRule="auto"/>
        <w:jc w:val="both"/>
        <w:rPr>
          <w:rFonts w:ascii="Times New Roman" w:hAnsi="Times New Roman"/>
          <w:b/>
        </w:rPr>
      </w:pPr>
      <w:r w:rsidRPr="009D6F64">
        <w:rPr>
          <w:rFonts w:ascii="Times New Roman" w:hAnsi="Times New Roman"/>
          <w:b/>
        </w:rPr>
        <w:t>5. References</w:t>
      </w:r>
    </w:p>
    <w:p w:rsidR="00714867" w:rsidRPr="009D6F64" w:rsidRDefault="00714867" w:rsidP="00714867">
      <w:pPr>
        <w:pStyle w:val="ListParagraph"/>
        <w:numPr>
          <w:ilvl w:val="0"/>
          <w:numId w:val="1"/>
        </w:numPr>
        <w:spacing w:line="240" w:lineRule="auto"/>
        <w:ind w:left="734" w:hanging="734"/>
        <w:jc w:val="both"/>
        <w:rPr>
          <w:rFonts w:ascii="Times New Roman" w:hAnsi="Times New Roman" w:cs="Times New Roman"/>
        </w:rPr>
      </w:pPr>
      <w:proofErr w:type="spellStart"/>
      <w:r w:rsidRPr="009D6F64">
        <w:rPr>
          <w:rFonts w:ascii="Times New Roman" w:hAnsi="Times New Roman" w:cs="Times New Roman"/>
        </w:rPr>
        <w:t>Agegev</w:t>
      </w:r>
      <w:proofErr w:type="spellEnd"/>
      <w:r w:rsidRPr="009D6F64">
        <w:rPr>
          <w:rFonts w:ascii="Times New Roman" w:hAnsi="Times New Roman" w:cs="Times New Roman"/>
        </w:rPr>
        <w:t xml:space="preserve"> E and </w:t>
      </w:r>
      <w:proofErr w:type="spellStart"/>
      <w:r w:rsidRPr="009D6F64">
        <w:rPr>
          <w:rFonts w:ascii="Times New Roman" w:hAnsi="Times New Roman" w:cs="Times New Roman"/>
        </w:rPr>
        <w:t>Ugurlu</w:t>
      </w:r>
      <w:proofErr w:type="spellEnd"/>
      <w:r w:rsidRPr="009D6F64">
        <w:rPr>
          <w:rFonts w:ascii="Times New Roman" w:hAnsi="Times New Roman" w:cs="Times New Roman"/>
        </w:rPr>
        <w:t xml:space="preserve"> A 2011 Biogas production from co-digestion of horse manure and waste sewage sludge </w:t>
      </w:r>
      <w:r w:rsidRPr="009D6F64">
        <w:rPr>
          <w:rFonts w:ascii="Times New Roman" w:hAnsi="Times New Roman" w:cs="Times New Roman"/>
          <w:i/>
        </w:rPr>
        <w:t>June 13-14 technol. conf.</w:t>
      </w:r>
    </w:p>
    <w:p w:rsidR="00714867" w:rsidRPr="009D6F64" w:rsidRDefault="00714867" w:rsidP="00714867">
      <w:pPr>
        <w:pStyle w:val="ListParagraph"/>
        <w:numPr>
          <w:ilvl w:val="0"/>
          <w:numId w:val="1"/>
        </w:numPr>
        <w:spacing w:line="240" w:lineRule="auto"/>
        <w:jc w:val="both"/>
        <w:rPr>
          <w:rFonts w:ascii="Times New Roman" w:hAnsi="Times New Roman" w:cs="Times New Roman"/>
        </w:rPr>
      </w:pPr>
      <w:r w:rsidRPr="009D6F64">
        <w:rPr>
          <w:rFonts w:ascii="Times New Roman" w:hAnsi="Times New Roman" w:cs="Times New Roman"/>
        </w:rPr>
        <w:t xml:space="preserve"> American Public Health Association (ALPHA) 2005 </w:t>
      </w:r>
      <w:r w:rsidRPr="009D6F64">
        <w:rPr>
          <w:rFonts w:ascii="Times New Roman" w:hAnsi="Times New Roman" w:cs="Times New Roman"/>
          <w:i/>
        </w:rPr>
        <w:t>Standard methods for Examination of Water and Waste Water</w:t>
      </w:r>
      <w:r w:rsidRPr="009D6F64">
        <w:rPr>
          <w:rFonts w:ascii="Times New Roman" w:hAnsi="Times New Roman" w:cs="Times New Roman"/>
        </w:rPr>
        <w:t xml:space="preserve"> (Washington DC: WEF)</w:t>
      </w:r>
    </w:p>
    <w:p w:rsidR="00714867" w:rsidRPr="009D6F64" w:rsidRDefault="00714867" w:rsidP="00714867">
      <w:pPr>
        <w:pStyle w:val="ListParagraph"/>
        <w:numPr>
          <w:ilvl w:val="0"/>
          <w:numId w:val="1"/>
        </w:numPr>
        <w:spacing w:line="240" w:lineRule="auto"/>
        <w:jc w:val="both"/>
        <w:rPr>
          <w:rFonts w:ascii="Times New Roman" w:hAnsi="Times New Roman" w:cs="Times New Roman"/>
        </w:rPr>
      </w:pPr>
      <w:proofErr w:type="spellStart"/>
      <w:r w:rsidRPr="009D6F64">
        <w:rPr>
          <w:rFonts w:ascii="Times New Roman" w:hAnsi="Times New Roman" w:cs="Times New Roman"/>
        </w:rPr>
        <w:t>Elaiyaraju</w:t>
      </w:r>
      <w:proofErr w:type="spellEnd"/>
      <w:r w:rsidRPr="009D6F64">
        <w:rPr>
          <w:rFonts w:ascii="Times New Roman" w:hAnsi="Times New Roman" w:cs="Times New Roman"/>
        </w:rPr>
        <w:t xml:space="preserve"> P and </w:t>
      </w:r>
      <w:proofErr w:type="spellStart"/>
      <w:r w:rsidRPr="009D6F64">
        <w:rPr>
          <w:rFonts w:ascii="Times New Roman" w:hAnsi="Times New Roman" w:cs="Times New Roman"/>
        </w:rPr>
        <w:t>Partha</w:t>
      </w:r>
      <w:proofErr w:type="spellEnd"/>
      <w:r w:rsidRPr="009D6F64">
        <w:rPr>
          <w:rFonts w:ascii="Times New Roman" w:hAnsi="Times New Roman" w:cs="Times New Roman"/>
        </w:rPr>
        <w:t xml:space="preserve"> N 2012 </w:t>
      </w:r>
      <w:r w:rsidRPr="009D6F64">
        <w:rPr>
          <w:rFonts w:ascii="Times New Roman" w:hAnsi="Times New Roman" w:cs="Times New Roman"/>
          <w:color w:val="000000" w:themeColor="text1"/>
        </w:rPr>
        <w:t xml:space="preserve">Biogas production from co-digestion of orange peel waste and </w:t>
      </w:r>
      <w:proofErr w:type="spellStart"/>
      <w:r w:rsidRPr="009D6F64">
        <w:rPr>
          <w:rFonts w:ascii="Times New Roman" w:hAnsi="Times New Roman" w:cs="Times New Roman"/>
          <w:color w:val="000000" w:themeColor="text1"/>
        </w:rPr>
        <w:t>jatropha</w:t>
      </w:r>
      <w:proofErr w:type="spellEnd"/>
      <w:r w:rsidRPr="009D6F64">
        <w:rPr>
          <w:rFonts w:ascii="Times New Roman" w:hAnsi="Times New Roman" w:cs="Times New Roman"/>
          <w:color w:val="000000" w:themeColor="text1"/>
        </w:rPr>
        <w:t xml:space="preserve"> de-oiled cake in an anaerobic batch reactor. </w:t>
      </w:r>
      <w:r w:rsidRPr="009D6F64">
        <w:rPr>
          <w:rFonts w:ascii="Times New Roman" w:hAnsi="Times New Roman" w:cs="Times New Roman"/>
        </w:rPr>
        <w:t xml:space="preserve"> </w:t>
      </w:r>
      <w:r w:rsidRPr="009D6F64">
        <w:rPr>
          <w:rFonts w:ascii="Times New Roman" w:hAnsi="Times New Roman" w:cs="Times New Roman"/>
          <w:i/>
        </w:rPr>
        <w:t>African J. of Biotechnology</w:t>
      </w:r>
      <w:r w:rsidRPr="009D6F64">
        <w:rPr>
          <w:rFonts w:ascii="Times New Roman" w:hAnsi="Times New Roman" w:cs="Times New Roman"/>
        </w:rPr>
        <w:t xml:space="preserve">  </w:t>
      </w:r>
      <w:r w:rsidRPr="009D6F64">
        <w:rPr>
          <w:rFonts w:ascii="Times New Roman" w:hAnsi="Times New Roman" w:cs="Times New Roman"/>
          <w:b/>
        </w:rPr>
        <w:t>11</w:t>
      </w:r>
      <w:r w:rsidRPr="009D6F64">
        <w:rPr>
          <w:rFonts w:ascii="Times New Roman" w:hAnsi="Times New Roman" w:cs="Times New Roman"/>
        </w:rPr>
        <w:t xml:space="preserve"> 3339-3345</w:t>
      </w:r>
    </w:p>
    <w:p w:rsidR="00714867" w:rsidRPr="009D6F64" w:rsidRDefault="00714867" w:rsidP="00714867">
      <w:pPr>
        <w:pStyle w:val="ListParagraph"/>
        <w:numPr>
          <w:ilvl w:val="0"/>
          <w:numId w:val="1"/>
        </w:numPr>
        <w:tabs>
          <w:tab w:val="left" w:pos="3247"/>
        </w:tabs>
        <w:spacing w:line="240" w:lineRule="auto"/>
        <w:ind w:left="734" w:hanging="734"/>
        <w:jc w:val="both"/>
        <w:rPr>
          <w:rFonts w:ascii="Times New Roman" w:hAnsi="Times New Roman" w:cs="Times New Roman"/>
        </w:rPr>
      </w:pPr>
      <w:proofErr w:type="spellStart"/>
      <w:r w:rsidRPr="009D6F64">
        <w:rPr>
          <w:rFonts w:ascii="Times New Roman" w:hAnsi="Times New Roman" w:cs="Times New Roman"/>
        </w:rPr>
        <w:t>Fulford</w:t>
      </w:r>
      <w:proofErr w:type="spellEnd"/>
      <w:r w:rsidRPr="009D6F64">
        <w:rPr>
          <w:rFonts w:ascii="Times New Roman" w:hAnsi="Times New Roman" w:cs="Times New Roman"/>
        </w:rPr>
        <w:t xml:space="preserve"> D 2001</w:t>
      </w:r>
      <w:r w:rsidRPr="009D6F64">
        <w:rPr>
          <w:rFonts w:ascii="Times New Roman" w:hAnsi="Times New Roman" w:cs="Times New Roman"/>
          <w:i/>
        </w:rPr>
        <w:t xml:space="preserve">Running a Biogas Programme </w:t>
      </w:r>
      <w:r w:rsidRPr="009D6F64">
        <w:rPr>
          <w:rFonts w:ascii="Times New Roman" w:hAnsi="Times New Roman" w:cs="Times New Roman"/>
        </w:rPr>
        <w:t>(UK:</w:t>
      </w:r>
      <w:r w:rsidRPr="009D6F64">
        <w:rPr>
          <w:rFonts w:ascii="Times New Roman" w:hAnsi="Times New Roman" w:cs="Times New Roman"/>
          <w:i/>
        </w:rPr>
        <w:t xml:space="preserve"> </w:t>
      </w:r>
      <w:r w:rsidRPr="009D6F64">
        <w:rPr>
          <w:rFonts w:ascii="Times New Roman" w:hAnsi="Times New Roman" w:cs="Times New Roman"/>
        </w:rPr>
        <w:t>ITDG Publishing)</w:t>
      </w:r>
    </w:p>
    <w:p w:rsidR="00714867" w:rsidRPr="009D6F64" w:rsidRDefault="00714867" w:rsidP="00714867">
      <w:pPr>
        <w:pStyle w:val="ListParagraph"/>
        <w:numPr>
          <w:ilvl w:val="0"/>
          <w:numId w:val="1"/>
        </w:numPr>
        <w:spacing w:line="240" w:lineRule="auto"/>
        <w:jc w:val="both"/>
        <w:rPr>
          <w:rFonts w:ascii="Times New Roman" w:hAnsi="Times New Roman" w:cs="Times New Roman"/>
        </w:rPr>
      </w:pPr>
      <w:r w:rsidRPr="009D6F64">
        <w:rPr>
          <w:rFonts w:ascii="Times New Roman" w:eastAsia="Times New Roman" w:hAnsi="Times New Roman" w:cs="Times New Roman"/>
        </w:rPr>
        <w:t xml:space="preserve">Han M J </w:t>
      </w:r>
      <w:proofErr w:type="spellStart"/>
      <w:r w:rsidRPr="009D6F64">
        <w:rPr>
          <w:rFonts w:ascii="Times New Roman" w:eastAsia="Times New Roman" w:hAnsi="Times New Roman" w:cs="Times New Roman"/>
        </w:rPr>
        <w:t>Behera</w:t>
      </w:r>
      <w:proofErr w:type="spellEnd"/>
      <w:r w:rsidRPr="009D6F64">
        <w:rPr>
          <w:rFonts w:ascii="Times New Roman" w:eastAsia="Times New Roman" w:hAnsi="Times New Roman" w:cs="Times New Roman"/>
        </w:rPr>
        <w:t xml:space="preserve"> S K and Park H S 2012 </w:t>
      </w:r>
      <w:r w:rsidRPr="009D6F64">
        <w:rPr>
          <w:rStyle w:val="maintitle"/>
          <w:rFonts w:ascii="Times New Roman" w:hAnsi="Times New Roman" w:cs="Times New Roman"/>
        </w:rPr>
        <w:t xml:space="preserve">Anaerobic co-digestion of food waste </w:t>
      </w:r>
      <w:proofErr w:type="spellStart"/>
      <w:r w:rsidRPr="009D6F64">
        <w:rPr>
          <w:rStyle w:val="maintitle"/>
          <w:rFonts w:ascii="Times New Roman" w:hAnsi="Times New Roman" w:cs="Times New Roman"/>
        </w:rPr>
        <w:t>leachate</w:t>
      </w:r>
      <w:proofErr w:type="spellEnd"/>
      <w:r w:rsidRPr="009D6F64">
        <w:rPr>
          <w:rStyle w:val="maintitle"/>
          <w:rFonts w:ascii="Times New Roman" w:hAnsi="Times New Roman" w:cs="Times New Roman"/>
        </w:rPr>
        <w:t xml:space="preserve"> and piggery wastewater for methane production: Statistical optimization of key process parameters </w:t>
      </w:r>
      <w:r w:rsidRPr="009D6F64">
        <w:rPr>
          <w:rFonts w:ascii="Times New Roman" w:hAnsi="Times New Roman" w:cs="Times New Roman"/>
          <w:i/>
        </w:rPr>
        <w:t>J. of Chemical Technology and Biotechnology</w:t>
      </w:r>
    </w:p>
    <w:p w:rsidR="00714867" w:rsidRPr="009D6F64" w:rsidRDefault="00714867" w:rsidP="00714867">
      <w:pPr>
        <w:pStyle w:val="ListParagraph"/>
        <w:numPr>
          <w:ilvl w:val="0"/>
          <w:numId w:val="1"/>
        </w:numPr>
        <w:spacing w:line="240" w:lineRule="auto"/>
        <w:ind w:left="734" w:hanging="734"/>
        <w:jc w:val="both"/>
        <w:rPr>
          <w:rFonts w:ascii="Times New Roman" w:hAnsi="Times New Roman" w:cs="Times New Roman"/>
        </w:rPr>
      </w:pPr>
      <w:r w:rsidRPr="009D6F64">
        <w:rPr>
          <w:rFonts w:ascii="Times New Roman" w:hAnsi="Times New Roman" w:cs="Times New Roman"/>
        </w:rPr>
        <w:t xml:space="preserve">Hill D T and </w:t>
      </w:r>
      <w:proofErr w:type="spellStart"/>
      <w:r w:rsidRPr="009D6F64">
        <w:rPr>
          <w:rFonts w:ascii="Times New Roman" w:hAnsi="Times New Roman" w:cs="Times New Roman"/>
        </w:rPr>
        <w:t>Botte</w:t>
      </w:r>
      <w:proofErr w:type="spellEnd"/>
      <w:r w:rsidRPr="009D6F64">
        <w:rPr>
          <w:rFonts w:ascii="Times New Roman" w:hAnsi="Times New Roman" w:cs="Times New Roman"/>
        </w:rPr>
        <w:t xml:space="preserve"> J P 2000 Methane Production from the Low Solid Concentration liquid Swine Waste using Convectional Anaerobic Fermentation </w:t>
      </w:r>
      <w:proofErr w:type="spellStart"/>
      <w:r w:rsidRPr="009D6F64">
        <w:rPr>
          <w:rFonts w:ascii="Times New Roman" w:hAnsi="Times New Roman" w:cs="Times New Roman"/>
          <w:i/>
        </w:rPr>
        <w:t>Bioresource</w:t>
      </w:r>
      <w:proofErr w:type="spellEnd"/>
      <w:r w:rsidRPr="009D6F64">
        <w:rPr>
          <w:rFonts w:ascii="Times New Roman" w:hAnsi="Times New Roman" w:cs="Times New Roman"/>
          <w:i/>
        </w:rPr>
        <w:t xml:space="preserve"> Technology</w:t>
      </w:r>
      <w:r w:rsidRPr="009D6F64">
        <w:rPr>
          <w:rFonts w:ascii="Times New Roman" w:hAnsi="Times New Roman" w:cs="Times New Roman"/>
        </w:rPr>
        <w:t xml:space="preserve"> </w:t>
      </w:r>
      <w:r w:rsidRPr="009D6F64">
        <w:rPr>
          <w:rFonts w:ascii="Times New Roman" w:hAnsi="Times New Roman" w:cs="Times New Roman"/>
          <w:b/>
        </w:rPr>
        <w:t xml:space="preserve">74 </w:t>
      </w:r>
      <w:r w:rsidRPr="009D6F64">
        <w:rPr>
          <w:rFonts w:ascii="Times New Roman" w:hAnsi="Times New Roman" w:cs="Times New Roman"/>
        </w:rPr>
        <w:t>241</w:t>
      </w:r>
    </w:p>
    <w:p w:rsidR="00714867" w:rsidRPr="009D6F64" w:rsidRDefault="00714867" w:rsidP="00714867">
      <w:pPr>
        <w:pStyle w:val="ListParagraph"/>
        <w:numPr>
          <w:ilvl w:val="0"/>
          <w:numId w:val="1"/>
        </w:numPr>
        <w:spacing w:line="240" w:lineRule="auto"/>
        <w:ind w:left="734" w:hanging="734"/>
        <w:jc w:val="both"/>
        <w:rPr>
          <w:rFonts w:ascii="Times New Roman" w:hAnsi="Times New Roman" w:cs="Times New Roman"/>
        </w:rPr>
      </w:pPr>
      <w:proofErr w:type="spellStart"/>
      <w:r w:rsidRPr="009D6F64">
        <w:rPr>
          <w:rFonts w:ascii="Times New Roman" w:hAnsi="Times New Roman" w:cs="Times New Roman"/>
          <w:bCs/>
        </w:rPr>
        <w:t>Iyagba</w:t>
      </w:r>
      <w:proofErr w:type="spellEnd"/>
      <w:r w:rsidRPr="009D6F64">
        <w:rPr>
          <w:rFonts w:ascii="Times New Roman" w:hAnsi="Times New Roman" w:cs="Times New Roman"/>
          <w:bCs/>
        </w:rPr>
        <w:t xml:space="preserve"> E l, </w:t>
      </w:r>
      <w:proofErr w:type="spellStart"/>
      <w:r w:rsidRPr="009D6F64">
        <w:rPr>
          <w:rFonts w:ascii="Times New Roman" w:hAnsi="Times New Roman" w:cs="Times New Roman"/>
          <w:bCs/>
        </w:rPr>
        <w:t>Mangibo</w:t>
      </w:r>
      <w:proofErr w:type="spellEnd"/>
      <w:r w:rsidRPr="009D6F64">
        <w:rPr>
          <w:rFonts w:ascii="Times New Roman" w:hAnsi="Times New Roman" w:cs="Times New Roman"/>
          <w:bCs/>
        </w:rPr>
        <w:t xml:space="preserve"> I A and Mohammad 2009 The study of cow dung as co-substrate with rice husk in biogas production</w:t>
      </w:r>
      <w:r w:rsidRPr="009D6F64">
        <w:rPr>
          <w:rFonts w:ascii="Times New Roman" w:hAnsi="Times New Roman" w:cs="Times New Roman"/>
        </w:rPr>
        <w:t xml:space="preserve"> </w:t>
      </w:r>
      <w:r w:rsidRPr="009D6F64">
        <w:rPr>
          <w:rFonts w:ascii="Times New Roman" w:hAnsi="Times New Roman" w:cs="Times New Roman"/>
          <w:i/>
        </w:rPr>
        <w:t>Scientific Research and Essay</w:t>
      </w:r>
      <w:r w:rsidRPr="009D6F64">
        <w:rPr>
          <w:rFonts w:ascii="Times New Roman" w:hAnsi="Times New Roman" w:cs="Times New Roman"/>
          <w:b/>
        </w:rPr>
        <w:t xml:space="preserve"> 4</w:t>
      </w:r>
      <w:r w:rsidRPr="009D6F64">
        <w:rPr>
          <w:rFonts w:ascii="Times New Roman" w:hAnsi="Times New Roman" w:cs="Times New Roman"/>
        </w:rPr>
        <w:t xml:space="preserve">  861-866</w:t>
      </w:r>
    </w:p>
    <w:p w:rsidR="00714867" w:rsidRPr="009D6F64" w:rsidRDefault="00714867" w:rsidP="00714867">
      <w:pPr>
        <w:pStyle w:val="ListParagraph"/>
        <w:numPr>
          <w:ilvl w:val="0"/>
          <w:numId w:val="1"/>
        </w:numPr>
        <w:tabs>
          <w:tab w:val="left" w:pos="3247"/>
        </w:tabs>
        <w:spacing w:line="240" w:lineRule="auto"/>
        <w:jc w:val="both"/>
        <w:rPr>
          <w:rFonts w:ascii="Times New Roman" w:hAnsi="Times New Roman" w:cs="Times New Roman"/>
        </w:rPr>
      </w:pPr>
      <w:proofErr w:type="spellStart"/>
      <w:r w:rsidRPr="009D6F64">
        <w:rPr>
          <w:rFonts w:ascii="Times New Roman" w:hAnsi="Times New Roman" w:cs="Times New Roman"/>
        </w:rPr>
        <w:t>Karim</w:t>
      </w:r>
      <w:proofErr w:type="spellEnd"/>
      <w:r w:rsidRPr="009D6F64">
        <w:rPr>
          <w:rFonts w:ascii="Times New Roman" w:hAnsi="Times New Roman" w:cs="Times New Roman"/>
        </w:rPr>
        <w:t xml:space="preserve"> K, Hoffmann R, </w:t>
      </w:r>
      <w:proofErr w:type="spellStart"/>
      <w:r w:rsidRPr="009D6F64">
        <w:rPr>
          <w:rFonts w:ascii="Times New Roman" w:hAnsi="Times New Roman" w:cs="Times New Roman"/>
        </w:rPr>
        <w:t>Klasson</w:t>
      </w:r>
      <w:proofErr w:type="spellEnd"/>
      <w:r w:rsidRPr="009D6F64">
        <w:rPr>
          <w:rFonts w:ascii="Times New Roman" w:hAnsi="Times New Roman" w:cs="Times New Roman"/>
        </w:rPr>
        <w:t xml:space="preserve"> T and Al-</w:t>
      </w:r>
      <w:proofErr w:type="spellStart"/>
      <w:r w:rsidRPr="009D6F64">
        <w:rPr>
          <w:rFonts w:ascii="Times New Roman" w:hAnsi="Times New Roman" w:cs="Times New Roman"/>
        </w:rPr>
        <w:t>Dahhan</w:t>
      </w:r>
      <w:proofErr w:type="spellEnd"/>
      <w:r w:rsidRPr="009D6F64">
        <w:rPr>
          <w:rFonts w:ascii="Times New Roman" w:hAnsi="Times New Roman" w:cs="Times New Roman"/>
        </w:rPr>
        <w:t xml:space="preserve"> 2005 Anaerobic Digestion of Animal Waste, Waste strength versus impact of mixing </w:t>
      </w:r>
      <w:proofErr w:type="spellStart"/>
      <w:r w:rsidRPr="009D6F64">
        <w:rPr>
          <w:rFonts w:ascii="Times New Roman" w:hAnsi="Times New Roman" w:cs="Times New Roman"/>
          <w:i/>
        </w:rPr>
        <w:t>Bioresource</w:t>
      </w:r>
      <w:proofErr w:type="spellEnd"/>
      <w:r w:rsidRPr="009D6F64">
        <w:rPr>
          <w:rFonts w:ascii="Times New Roman" w:hAnsi="Times New Roman" w:cs="Times New Roman"/>
          <w:i/>
        </w:rPr>
        <w:t>, Technol</w:t>
      </w:r>
      <w:r w:rsidRPr="009D6F64">
        <w:rPr>
          <w:rFonts w:ascii="Times New Roman" w:hAnsi="Times New Roman" w:cs="Times New Roman"/>
        </w:rPr>
        <w:t xml:space="preserve">. </w:t>
      </w:r>
      <w:r w:rsidRPr="009D6F64">
        <w:rPr>
          <w:rFonts w:ascii="Times New Roman" w:hAnsi="Times New Roman" w:cs="Times New Roman"/>
          <w:b/>
        </w:rPr>
        <w:t>96</w:t>
      </w:r>
      <w:r w:rsidRPr="009D6F64">
        <w:rPr>
          <w:rFonts w:ascii="Times New Roman" w:hAnsi="Times New Roman" w:cs="Times New Roman"/>
        </w:rPr>
        <w:t xml:space="preserve"> 1771-1781</w:t>
      </w:r>
    </w:p>
    <w:p w:rsidR="00714867" w:rsidRPr="009D6F64" w:rsidRDefault="00714867" w:rsidP="00714867">
      <w:pPr>
        <w:pStyle w:val="ListParagraph"/>
        <w:numPr>
          <w:ilvl w:val="0"/>
          <w:numId w:val="1"/>
        </w:numPr>
        <w:spacing w:line="240" w:lineRule="auto"/>
        <w:ind w:left="734" w:hanging="734"/>
        <w:jc w:val="both"/>
        <w:rPr>
          <w:rFonts w:ascii="Times New Roman" w:hAnsi="Times New Roman" w:cs="Times New Roman"/>
        </w:rPr>
      </w:pPr>
      <w:proofErr w:type="spellStart"/>
      <w:r w:rsidRPr="009D6F64">
        <w:rPr>
          <w:rFonts w:ascii="Times New Roman" w:hAnsi="Times New Roman" w:cs="Times New Roman"/>
        </w:rPr>
        <w:t>Kshirgar</w:t>
      </w:r>
      <w:proofErr w:type="spellEnd"/>
      <w:r w:rsidRPr="009D6F64">
        <w:rPr>
          <w:rFonts w:ascii="Times New Roman" w:hAnsi="Times New Roman" w:cs="Times New Roman"/>
        </w:rPr>
        <w:t xml:space="preserve"> M P, </w:t>
      </w:r>
      <w:proofErr w:type="spellStart"/>
      <w:r w:rsidRPr="009D6F64">
        <w:rPr>
          <w:rFonts w:ascii="Times New Roman" w:hAnsi="Times New Roman" w:cs="Times New Roman"/>
        </w:rPr>
        <w:t>Arora</w:t>
      </w:r>
      <w:proofErr w:type="spellEnd"/>
      <w:r w:rsidRPr="009D6F64">
        <w:rPr>
          <w:rFonts w:ascii="Times New Roman" w:hAnsi="Times New Roman" w:cs="Times New Roman"/>
        </w:rPr>
        <w:t xml:space="preserve"> A and Chandra H 2010 Estimation of anaerobic co-digestion potential of Agricultural waste in India and comparative financial analysis </w:t>
      </w:r>
      <w:r w:rsidRPr="009D6F64">
        <w:rPr>
          <w:rFonts w:ascii="Times New Roman" w:hAnsi="Times New Roman" w:cs="Times New Roman"/>
          <w:i/>
        </w:rPr>
        <w:t>International J. of sustainable energy</w:t>
      </w:r>
      <w:r w:rsidRPr="009D6F64">
        <w:rPr>
          <w:rFonts w:ascii="Times New Roman" w:hAnsi="Times New Roman" w:cs="Times New Roman"/>
        </w:rPr>
        <w:t xml:space="preserve"> </w:t>
      </w:r>
      <w:r w:rsidRPr="009D6F64">
        <w:rPr>
          <w:rFonts w:ascii="Times New Roman" w:hAnsi="Times New Roman" w:cs="Times New Roman"/>
          <w:b/>
        </w:rPr>
        <w:t>31</w:t>
      </w:r>
      <w:r w:rsidRPr="009D6F64">
        <w:rPr>
          <w:rFonts w:ascii="Times New Roman" w:hAnsi="Times New Roman" w:cs="Times New Roman"/>
        </w:rPr>
        <w:t xml:space="preserve"> 175-188</w:t>
      </w:r>
    </w:p>
    <w:p w:rsidR="00714867" w:rsidRPr="009D6F64" w:rsidRDefault="00714867" w:rsidP="00714867">
      <w:pPr>
        <w:pStyle w:val="ListParagraph"/>
        <w:numPr>
          <w:ilvl w:val="0"/>
          <w:numId w:val="1"/>
        </w:numPr>
        <w:spacing w:line="240" w:lineRule="auto"/>
        <w:ind w:left="734" w:hanging="734"/>
        <w:jc w:val="both"/>
        <w:rPr>
          <w:rFonts w:ascii="Times New Roman" w:hAnsi="Times New Roman" w:cs="Times New Roman"/>
        </w:rPr>
      </w:pPr>
      <w:r w:rsidRPr="009D6F64">
        <w:rPr>
          <w:rFonts w:ascii="Times New Roman" w:hAnsi="Times New Roman" w:cs="Times New Roman"/>
        </w:rPr>
        <w:t xml:space="preserve">Li J, </w:t>
      </w:r>
      <w:proofErr w:type="spellStart"/>
      <w:r w:rsidRPr="009D6F64">
        <w:rPr>
          <w:rFonts w:ascii="Times New Roman" w:hAnsi="Times New Roman" w:cs="Times New Roman"/>
        </w:rPr>
        <w:t>Jha</w:t>
      </w:r>
      <w:proofErr w:type="spellEnd"/>
      <w:r w:rsidRPr="009D6F64">
        <w:rPr>
          <w:rFonts w:ascii="Times New Roman" w:hAnsi="Times New Roman" w:cs="Times New Roman"/>
        </w:rPr>
        <w:t xml:space="preserve"> A K, He J, Ban Q, Chang S and Wang W Assessment of dry anaerobic co-digestion of cow dung with waste water sludge on biogas yield and bio-degradability </w:t>
      </w:r>
      <w:r w:rsidRPr="009D6F64">
        <w:rPr>
          <w:rFonts w:ascii="Times New Roman" w:hAnsi="Times New Roman" w:cs="Times New Roman"/>
          <w:i/>
        </w:rPr>
        <w:t>International J. of Physical Sciences</w:t>
      </w:r>
      <w:r w:rsidRPr="009D6F64">
        <w:rPr>
          <w:rFonts w:ascii="Times New Roman" w:hAnsi="Times New Roman" w:cs="Times New Roman"/>
        </w:rPr>
        <w:t xml:space="preserve"> </w:t>
      </w:r>
      <w:r w:rsidRPr="009D6F64">
        <w:rPr>
          <w:rFonts w:ascii="Times New Roman" w:hAnsi="Times New Roman" w:cs="Times New Roman"/>
          <w:b/>
        </w:rPr>
        <w:t>6</w:t>
      </w:r>
      <w:r w:rsidRPr="009D6F64">
        <w:rPr>
          <w:rFonts w:ascii="Times New Roman" w:hAnsi="Times New Roman" w:cs="Times New Roman"/>
        </w:rPr>
        <w:t xml:space="preserve"> 3679-3688</w:t>
      </w:r>
    </w:p>
    <w:p w:rsidR="00714867" w:rsidRPr="009D6F64" w:rsidRDefault="00714867" w:rsidP="00714867">
      <w:pPr>
        <w:pStyle w:val="ListParagraph"/>
        <w:numPr>
          <w:ilvl w:val="0"/>
          <w:numId w:val="1"/>
        </w:numPr>
        <w:spacing w:line="240" w:lineRule="auto"/>
        <w:jc w:val="both"/>
        <w:rPr>
          <w:rFonts w:ascii="Times New Roman" w:hAnsi="Times New Roman" w:cs="Times New Roman"/>
        </w:rPr>
      </w:pPr>
      <w:proofErr w:type="spellStart"/>
      <w:r w:rsidRPr="009D6F64">
        <w:rPr>
          <w:rFonts w:ascii="Times New Roman" w:hAnsi="Times New Roman" w:cs="Times New Roman"/>
        </w:rPr>
        <w:t>Misi</w:t>
      </w:r>
      <w:proofErr w:type="spellEnd"/>
      <w:r w:rsidRPr="009D6F64">
        <w:rPr>
          <w:rFonts w:ascii="Times New Roman" w:hAnsi="Times New Roman" w:cs="Times New Roman"/>
        </w:rPr>
        <w:t xml:space="preserve"> S N 2001 </w:t>
      </w:r>
      <w:r w:rsidRPr="009D6F64">
        <w:rPr>
          <w:rFonts w:ascii="Times New Roman" w:hAnsi="Times New Roman" w:cs="Times New Roman"/>
          <w:i/>
        </w:rPr>
        <w:t>Anaerobic Co-digestion of Agro-industrial Wastes for Optimum Biogas Production</w:t>
      </w:r>
      <w:r w:rsidRPr="009D6F64">
        <w:rPr>
          <w:rFonts w:ascii="Times New Roman" w:hAnsi="Times New Roman" w:cs="Times New Roman"/>
        </w:rPr>
        <w:t>, PhD Thesis, University of Birmingham</w:t>
      </w:r>
    </w:p>
    <w:p w:rsidR="00714867" w:rsidRPr="009D6F64" w:rsidRDefault="00714867" w:rsidP="00714867">
      <w:pPr>
        <w:pStyle w:val="ListParagraph"/>
        <w:numPr>
          <w:ilvl w:val="0"/>
          <w:numId w:val="1"/>
        </w:numPr>
        <w:spacing w:line="240" w:lineRule="auto"/>
        <w:jc w:val="both"/>
        <w:rPr>
          <w:rFonts w:ascii="Times New Roman" w:hAnsi="Times New Roman" w:cs="Times New Roman"/>
        </w:rPr>
      </w:pPr>
      <w:proofErr w:type="spellStart"/>
      <w:r w:rsidRPr="009D6F64">
        <w:rPr>
          <w:rFonts w:ascii="Times New Roman" w:hAnsi="Times New Roman" w:cs="Times New Roman"/>
        </w:rPr>
        <w:t>Mukumba</w:t>
      </w:r>
      <w:proofErr w:type="spellEnd"/>
      <w:r w:rsidRPr="009D6F64">
        <w:rPr>
          <w:rFonts w:ascii="Times New Roman" w:hAnsi="Times New Roman" w:cs="Times New Roman"/>
        </w:rPr>
        <w:t xml:space="preserve"> P, </w:t>
      </w:r>
      <w:proofErr w:type="spellStart"/>
      <w:r w:rsidRPr="009D6F64">
        <w:rPr>
          <w:rFonts w:ascii="Times New Roman" w:hAnsi="Times New Roman" w:cs="Times New Roman"/>
        </w:rPr>
        <w:t>Makaka</w:t>
      </w:r>
      <w:proofErr w:type="spellEnd"/>
      <w:r w:rsidRPr="009D6F64">
        <w:rPr>
          <w:rFonts w:ascii="Times New Roman" w:hAnsi="Times New Roman" w:cs="Times New Roman"/>
        </w:rPr>
        <w:t xml:space="preserve"> G and </w:t>
      </w:r>
      <w:proofErr w:type="spellStart"/>
      <w:r w:rsidRPr="009D6F64">
        <w:rPr>
          <w:rFonts w:ascii="Times New Roman" w:hAnsi="Times New Roman" w:cs="Times New Roman"/>
        </w:rPr>
        <w:t>Mamphweli</w:t>
      </w:r>
      <w:proofErr w:type="spellEnd"/>
      <w:r w:rsidRPr="009D6F64">
        <w:rPr>
          <w:rFonts w:ascii="Times New Roman" w:hAnsi="Times New Roman" w:cs="Times New Roman"/>
        </w:rPr>
        <w:t xml:space="preserve"> S 2011 Batch anaerobic co-digestion of cow dung and donkey manure </w:t>
      </w:r>
      <w:r w:rsidRPr="009D6F64">
        <w:rPr>
          <w:rFonts w:ascii="Times New Roman" w:hAnsi="Times New Roman" w:cs="Times New Roman"/>
          <w:i/>
        </w:rPr>
        <w:t>Proc. of SAIP 2011 SA Institute of Phys.</w:t>
      </w:r>
      <w:r w:rsidRPr="009D6F64">
        <w:rPr>
          <w:rFonts w:ascii="Times New Roman" w:hAnsi="Times New Roman" w:cs="Times New Roman"/>
        </w:rPr>
        <w:t xml:space="preserve"> 701-706</w:t>
      </w:r>
    </w:p>
    <w:p w:rsidR="00714867" w:rsidRPr="009D6F64" w:rsidRDefault="00714867" w:rsidP="00714867">
      <w:pPr>
        <w:pStyle w:val="ListParagraph"/>
        <w:numPr>
          <w:ilvl w:val="0"/>
          <w:numId w:val="1"/>
        </w:numPr>
        <w:spacing w:line="240" w:lineRule="auto"/>
        <w:jc w:val="both"/>
        <w:rPr>
          <w:rFonts w:ascii="Times New Roman" w:hAnsi="Times New Roman" w:cs="Times New Roman"/>
        </w:rPr>
      </w:pPr>
      <w:proofErr w:type="spellStart"/>
      <w:r w:rsidRPr="009D6F64">
        <w:rPr>
          <w:rFonts w:ascii="Times New Roman" w:hAnsi="Times New Roman" w:cs="Times New Roman"/>
          <w:color w:val="000000" w:themeColor="text1"/>
        </w:rPr>
        <w:t>Mwakasonda</w:t>
      </w:r>
      <w:proofErr w:type="spellEnd"/>
      <w:r w:rsidRPr="009D6F64">
        <w:rPr>
          <w:rFonts w:ascii="Times New Roman" w:hAnsi="Times New Roman" w:cs="Times New Roman"/>
          <w:color w:val="000000" w:themeColor="text1"/>
        </w:rPr>
        <w:t xml:space="preserve"> S A 2007 </w:t>
      </w:r>
      <w:r w:rsidRPr="009D6F64">
        <w:rPr>
          <w:rFonts w:ascii="Times New Roman" w:hAnsi="Times New Roman" w:cs="Times New Roman"/>
          <w:i/>
          <w:color w:val="000000" w:themeColor="text1"/>
        </w:rPr>
        <w:t>South Africa Low Carbon Scenario Report</w:t>
      </w:r>
      <w:r w:rsidRPr="009D6F64">
        <w:rPr>
          <w:rFonts w:ascii="Times New Roman" w:hAnsi="Times New Roman" w:cs="Times New Roman"/>
          <w:color w:val="000000" w:themeColor="text1"/>
        </w:rPr>
        <w:t xml:space="preserve"> (University of Cape Town: Energy Research Centre) </w:t>
      </w:r>
    </w:p>
    <w:p w:rsidR="00714867" w:rsidRPr="009D6F64" w:rsidRDefault="00714867" w:rsidP="00714867">
      <w:pPr>
        <w:pStyle w:val="ListParagraph"/>
        <w:numPr>
          <w:ilvl w:val="0"/>
          <w:numId w:val="1"/>
        </w:numPr>
        <w:spacing w:line="240" w:lineRule="auto"/>
        <w:ind w:left="734" w:hanging="734"/>
        <w:jc w:val="both"/>
        <w:rPr>
          <w:rFonts w:ascii="Times New Roman" w:hAnsi="Times New Roman" w:cs="Times New Roman"/>
        </w:rPr>
      </w:pPr>
      <w:proofErr w:type="spellStart"/>
      <w:r w:rsidRPr="009D6F64">
        <w:rPr>
          <w:rFonts w:ascii="Times New Roman" w:hAnsi="Times New Roman" w:cs="Times New Roman"/>
        </w:rPr>
        <w:t>Naomichi</w:t>
      </w:r>
      <w:proofErr w:type="spellEnd"/>
      <w:r w:rsidRPr="009D6F64">
        <w:rPr>
          <w:rFonts w:ascii="Times New Roman" w:hAnsi="Times New Roman" w:cs="Times New Roman"/>
        </w:rPr>
        <w:t xml:space="preserve"> N and Yutaka N 2007, </w:t>
      </w:r>
      <w:proofErr w:type="gramStart"/>
      <w:r w:rsidRPr="009D6F64">
        <w:rPr>
          <w:rFonts w:ascii="Times New Roman" w:hAnsi="Times New Roman" w:cs="Times New Roman"/>
        </w:rPr>
        <w:t>Recent</w:t>
      </w:r>
      <w:proofErr w:type="gramEnd"/>
      <w:r w:rsidRPr="009D6F64">
        <w:rPr>
          <w:rFonts w:ascii="Times New Roman" w:hAnsi="Times New Roman" w:cs="Times New Roman"/>
        </w:rPr>
        <w:t xml:space="preserve"> development of anaerobic digestion processes for energy recovery from wastes </w:t>
      </w:r>
      <w:r w:rsidRPr="009D6F64">
        <w:rPr>
          <w:rFonts w:ascii="Times New Roman" w:hAnsi="Times New Roman" w:cs="Times New Roman"/>
          <w:i/>
        </w:rPr>
        <w:t xml:space="preserve">J. </w:t>
      </w:r>
      <w:proofErr w:type="spellStart"/>
      <w:r w:rsidRPr="009D6F64">
        <w:rPr>
          <w:rFonts w:ascii="Times New Roman" w:hAnsi="Times New Roman" w:cs="Times New Roman"/>
          <w:i/>
        </w:rPr>
        <w:t>Biosci</w:t>
      </w:r>
      <w:proofErr w:type="spellEnd"/>
      <w:r w:rsidRPr="009D6F64">
        <w:rPr>
          <w:rFonts w:ascii="Times New Roman" w:hAnsi="Times New Roman" w:cs="Times New Roman"/>
          <w:i/>
        </w:rPr>
        <w:t xml:space="preserve">. </w:t>
      </w:r>
      <w:proofErr w:type="spellStart"/>
      <w:r w:rsidRPr="009D6F64">
        <w:rPr>
          <w:rFonts w:ascii="Times New Roman" w:hAnsi="Times New Roman" w:cs="Times New Roman"/>
          <w:i/>
        </w:rPr>
        <w:t>Bioeng</w:t>
      </w:r>
      <w:proofErr w:type="spellEnd"/>
      <w:r w:rsidRPr="009D6F64">
        <w:rPr>
          <w:rFonts w:ascii="Times New Roman" w:hAnsi="Times New Roman" w:cs="Times New Roman"/>
        </w:rPr>
        <w:t xml:space="preserve"> </w:t>
      </w:r>
      <w:r w:rsidRPr="009D6F64">
        <w:rPr>
          <w:rFonts w:ascii="Times New Roman" w:hAnsi="Times New Roman" w:cs="Times New Roman"/>
          <w:b/>
        </w:rPr>
        <w:t>103</w:t>
      </w:r>
      <w:r w:rsidRPr="009D6F64">
        <w:rPr>
          <w:rFonts w:ascii="Times New Roman" w:hAnsi="Times New Roman" w:cs="Times New Roman"/>
        </w:rPr>
        <w:t xml:space="preserve"> 105-112</w:t>
      </w:r>
    </w:p>
    <w:p w:rsidR="00714867" w:rsidRPr="009D6F64" w:rsidRDefault="00714867" w:rsidP="00714867">
      <w:pPr>
        <w:pStyle w:val="ListParagraph"/>
        <w:numPr>
          <w:ilvl w:val="0"/>
          <w:numId w:val="1"/>
        </w:numPr>
        <w:spacing w:line="240" w:lineRule="auto"/>
        <w:jc w:val="both"/>
        <w:rPr>
          <w:rFonts w:ascii="Times New Roman" w:hAnsi="Times New Roman" w:cs="Times New Roman"/>
        </w:rPr>
      </w:pPr>
      <w:proofErr w:type="spellStart"/>
      <w:r w:rsidRPr="009D6F64">
        <w:rPr>
          <w:rFonts w:ascii="Times New Roman" w:hAnsi="Times New Roman" w:cs="Times New Roman"/>
        </w:rPr>
        <w:t>Nijaguna</w:t>
      </w:r>
      <w:proofErr w:type="spellEnd"/>
      <w:r w:rsidRPr="009D6F64">
        <w:rPr>
          <w:rFonts w:ascii="Times New Roman" w:hAnsi="Times New Roman" w:cs="Times New Roman"/>
        </w:rPr>
        <w:t xml:space="preserve"> B T 2002 </w:t>
      </w:r>
      <w:r w:rsidRPr="009D6F64">
        <w:rPr>
          <w:rFonts w:ascii="Times New Roman" w:hAnsi="Times New Roman" w:cs="Times New Roman"/>
          <w:i/>
        </w:rPr>
        <w:t xml:space="preserve">Biogas Technology </w:t>
      </w:r>
      <w:r w:rsidRPr="009D6F64">
        <w:rPr>
          <w:rFonts w:ascii="Times New Roman" w:hAnsi="Times New Roman" w:cs="Times New Roman"/>
        </w:rPr>
        <w:t>(New Delhi: New Age International (P) Limited, Publishers)</w:t>
      </w:r>
    </w:p>
    <w:p w:rsidR="00714867" w:rsidRPr="009D6F64" w:rsidRDefault="00714867" w:rsidP="00714867">
      <w:pPr>
        <w:pStyle w:val="ListParagraph"/>
        <w:numPr>
          <w:ilvl w:val="0"/>
          <w:numId w:val="1"/>
        </w:numPr>
        <w:spacing w:line="240" w:lineRule="auto"/>
        <w:ind w:left="734" w:hanging="734"/>
        <w:jc w:val="both"/>
        <w:rPr>
          <w:rFonts w:ascii="Times New Roman" w:hAnsi="Times New Roman" w:cs="Times New Roman"/>
        </w:rPr>
      </w:pPr>
      <w:proofErr w:type="spellStart"/>
      <w:r w:rsidRPr="009D6F64">
        <w:rPr>
          <w:rFonts w:ascii="Times New Roman" w:hAnsi="Times New Roman" w:cs="Times New Roman"/>
        </w:rPr>
        <w:t>Uzodinma</w:t>
      </w:r>
      <w:proofErr w:type="spellEnd"/>
      <w:r w:rsidRPr="009D6F64">
        <w:rPr>
          <w:rFonts w:ascii="Times New Roman" w:hAnsi="Times New Roman" w:cs="Times New Roman"/>
        </w:rPr>
        <w:t xml:space="preserve"> E O, </w:t>
      </w:r>
      <w:proofErr w:type="spellStart"/>
      <w:r w:rsidRPr="009D6F64">
        <w:rPr>
          <w:rFonts w:ascii="Times New Roman" w:hAnsi="Times New Roman" w:cs="Times New Roman"/>
        </w:rPr>
        <w:t>Ofoelule</w:t>
      </w:r>
      <w:proofErr w:type="spellEnd"/>
      <w:r w:rsidRPr="009D6F64">
        <w:rPr>
          <w:rFonts w:ascii="Times New Roman" w:hAnsi="Times New Roman" w:cs="Times New Roman"/>
        </w:rPr>
        <w:t xml:space="preserve"> A U, </w:t>
      </w:r>
      <w:proofErr w:type="spellStart"/>
      <w:r w:rsidRPr="009D6F64">
        <w:rPr>
          <w:rFonts w:ascii="Times New Roman" w:hAnsi="Times New Roman" w:cs="Times New Roman"/>
        </w:rPr>
        <w:t>Eze</w:t>
      </w:r>
      <w:proofErr w:type="spellEnd"/>
      <w:r w:rsidRPr="009D6F64">
        <w:rPr>
          <w:rFonts w:ascii="Times New Roman" w:hAnsi="Times New Roman" w:cs="Times New Roman"/>
        </w:rPr>
        <w:t xml:space="preserve"> J I, </w:t>
      </w:r>
      <w:proofErr w:type="spellStart"/>
      <w:r w:rsidRPr="009D6F64">
        <w:rPr>
          <w:rFonts w:ascii="Times New Roman" w:hAnsi="Times New Roman" w:cs="Times New Roman"/>
        </w:rPr>
        <w:t>Mbaaeyi</w:t>
      </w:r>
      <w:proofErr w:type="spellEnd"/>
      <w:r w:rsidRPr="009D6F64">
        <w:rPr>
          <w:rFonts w:ascii="Times New Roman" w:hAnsi="Times New Roman" w:cs="Times New Roman"/>
        </w:rPr>
        <w:t xml:space="preserve"> I and </w:t>
      </w:r>
      <w:proofErr w:type="spellStart"/>
      <w:r w:rsidRPr="009D6F64">
        <w:rPr>
          <w:rFonts w:ascii="Times New Roman" w:hAnsi="Times New Roman" w:cs="Times New Roman"/>
        </w:rPr>
        <w:t>Onwuka</w:t>
      </w:r>
      <w:proofErr w:type="spellEnd"/>
      <w:r w:rsidRPr="009D6F64">
        <w:rPr>
          <w:rFonts w:ascii="Times New Roman" w:hAnsi="Times New Roman" w:cs="Times New Roman"/>
        </w:rPr>
        <w:t xml:space="preserve"> N D Effect of some organic wastes on biogas yield from carbonated soft drinks sludge </w:t>
      </w:r>
      <w:r w:rsidRPr="009D6F64">
        <w:rPr>
          <w:rFonts w:ascii="Times New Roman" w:hAnsi="Times New Roman" w:cs="Times New Roman"/>
          <w:i/>
        </w:rPr>
        <w:t>Sci. Res. Essays</w:t>
      </w:r>
      <w:r w:rsidRPr="009D6F64">
        <w:rPr>
          <w:rFonts w:ascii="Times New Roman" w:hAnsi="Times New Roman" w:cs="Times New Roman"/>
        </w:rPr>
        <w:t xml:space="preserve"> </w:t>
      </w:r>
      <w:r w:rsidRPr="009D6F64">
        <w:rPr>
          <w:rFonts w:ascii="Times New Roman" w:hAnsi="Times New Roman" w:cs="Times New Roman"/>
          <w:b/>
        </w:rPr>
        <w:t>3</w:t>
      </w:r>
      <w:r w:rsidRPr="009D6F64">
        <w:rPr>
          <w:rFonts w:ascii="Times New Roman" w:hAnsi="Times New Roman" w:cs="Times New Roman"/>
        </w:rPr>
        <w:t xml:space="preserve"> 401-405</w:t>
      </w:r>
    </w:p>
    <w:p w:rsidR="00714867" w:rsidRDefault="00714867" w:rsidP="00714867"/>
    <w:p w:rsidR="007A5B6E" w:rsidRDefault="007A5B6E"/>
    <w:sectPr w:rsidR="007A5B6E" w:rsidSect="00F37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E56E2"/>
    <w:multiLevelType w:val="hybridMultilevel"/>
    <w:tmpl w:val="25186240"/>
    <w:lvl w:ilvl="0" w:tplc="0ACA5584">
      <w:start w:val="1"/>
      <w:numFmt w:val="decimal"/>
      <w:suff w:val="space"/>
      <w:lvlText w:val="[%1]"/>
      <w:lvlJc w:val="left"/>
      <w:pPr>
        <w:ind w:left="737" w:hanging="737"/>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savePreviewPicture/>
  <w:compat/>
  <w:rsids>
    <w:rsidRoot w:val="00714867"/>
    <w:rsid w:val="00122998"/>
    <w:rsid w:val="00140FB6"/>
    <w:rsid w:val="001C4F18"/>
    <w:rsid w:val="002021B6"/>
    <w:rsid w:val="00244812"/>
    <w:rsid w:val="002750F1"/>
    <w:rsid w:val="00291CA8"/>
    <w:rsid w:val="00292D61"/>
    <w:rsid w:val="0029582A"/>
    <w:rsid w:val="002A05AA"/>
    <w:rsid w:val="00300468"/>
    <w:rsid w:val="0033482C"/>
    <w:rsid w:val="003B70B9"/>
    <w:rsid w:val="003C0CEE"/>
    <w:rsid w:val="00454D69"/>
    <w:rsid w:val="00470958"/>
    <w:rsid w:val="0050326C"/>
    <w:rsid w:val="00550E88"/>
    <w:rsid w:val="006B382B"/>
    <w:rsid w:val="00714867"/>
    <w:rsid w:val="00747CC9"/>
    <w:rsid w:val="007A5B6E"/>
    <w:rsid w:val="008801EE"/>
    <w:rsid w:val="008A54AA"/>
    <w:rsid w:val="008B1DAD"/>
    <w:rsid w:val="008F5DF5"/>
    <w:rsid w:val="00956142"/>
    <w:rsid w:val="009A0786"/>
    <w:rsid w:val="009C6949"/>
    <w:rsid w:val="009D6F64"/>
    <w:rsid w:val="009F0248"/>
    <w:rsid w:val="00A50236"/>
    <w:rsid w:val="00B409CE"/>
    <w:rsid w:val="00B56222"/>
    <w:rsid w:val="00B6723F"/>
    <w:rsid w:val="00B73D95"/>
    <w:rsid w:val="00B96121"/>
    <w:rsid w:val="00C27B79"/>
    <w:rsid w:val="00C4698C"/>
    <w:rsid w:val="00C62123"/>
    <w:rsid w:val="00D77FCD"/>
    <w:rsid w:val="00D87E49"/>
    <w:rsid w:val="00DB2A2A"/>
    <w:rsid w:val="00DC1A14"/>
    <w:rsid w:val="00DE4A74"/>
    <w:rsid w:val="00E655B3"/>
    <w:rsid w:val="00E7115E"/>
    <w:rsid w:val="00EF4E7F"/>
    <w:rsid w:val="00EF7ACE"/>
    <w:rsid w:val="00F00298"/>
    <w:rsid w:val="00FA5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40"/>
        <o:r id="V:Rule13" type="connector" idref="#_x0000_s1048"/>
        <o:r id="V:Rule14" type="connector" idref="#_x0000_s1046"/>
        <o:r id="V:Rule15" type="connector" idref="#_x0000_s1045"/>
        <o:r id="V:Rule16" type="connector" idref="#_x0000_s1042"/>
        <o:r id="V:Rule17" type="connector" idref="#_x0000_s1041"/>
        <o:r id="V:Rule18" type="connector" idref="#_x0000_s1049"/>
        <o:r id="V:Rule19" type="connector" idref="#_x0000_s1044"/>
        <o:r id="V:Rule20" type="connector" idref="#_x0000_s1047"/>
        <o:r id="V:Rule21" type="connector" idref="#_x0000_s1043"/>
        <o:r id="V:Rule22" type="connector" idref="#_x0000_s105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867"/>
    <w:pPr>
      <w:spacing w:after="0" w:line="360" w:lineRule="auto"/>
      <w:jc w:val="both"/>
    </w:pPr>
    <w:rPr>
      <w:rFonts w:ascii="Times New Roman" w:eastAsia="Calibri" w:hAnsi="Times New Roman" w:cs="Times New Roman"/>
      <w:b/>
      <w:color w:val="000000"/>
      <w:sz w:val="20"/>
      <w:szCs w:val="20"/>
      <w:lang w:val="en-ZW"/>
    </w:rPr>
  </w:style>
  <w:style w:type="paragraph" w:styleId="ListParagraph">
    <w:name w:val="List Paragraph"/>
    <w:basedOn w:val="Normal"/>
    <w:link w:val="ListParagraphChar"/>
    <w:uiPriority w:val="34"/>
    <w:qFormat/>
    <w:rsid w:val="00714867"/>
    <w:pPr>
      <w:ind w:left="720"/>
      <w:contextualSpacing/>
    </w:pPr>
    <w:rPr>
      <w:rFonts w:asciiTheme="minorHAnsi" w:eastAsiaTheme="minorHAnsi" w:hAnsiTheme="minorHAnsi" w:cstheme="minorBidi"/>
      <w:lang w:val="en-ZW"/>
    </w:rPr>
  </w:style>
  <w:style w:type="character" w:customStyle="1" w:styleId="ListParagraphChar">
    <w:name w:val="List Paragraph Char"/>
    <w:basedOn w:val="DefaultParagraphFont"/>
    <w:link w:val="ListParagraph"/>
    <w:uiPriority w:val="34"/>
    <w:locked/>
    <w:rsid w:val="00714867"/>
    <w:rPr>
      <w:lang w:val="en-ZW"/>
    </w:rPr>
  </w:style>
  <w:style w:type="character" w:styleId="Emphasis">
    <w:name w:val="Emphasis"/>
    <w:basedOn w:val="DefaultParagraphFont"/>
    <w:uiPriority w:val="20"/>
    <w:qFormat/>
    <w:rsid w:val="00714867"/>
    <w:rPr>
      <w:i/>
      <w:iCs/>
    </w:rPr>
  </w:style>
  <w:style w:type="table" w:styleId="TableGrid">
    <w:name w:val="Table Grid"/>
    <w:basedOn w:val="TableNormal"/>
    <w:uiPriority w:val="59"/>
    <w:rsid w:val="007148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1">
    <w:name w:val="normal__char1"/>
    <w:basedOn w:val="DefaultParagraphFont"/>
    <w:rsid w:val="00714867"/>
    <w:rPr>
      <w:rFonts w:ascii="Calibri" w:hAnsi="Calibri" w:cs="Calibri" w:hint="default"/>
      <w:sz w:val="22"/>
      <w:szCs w:val="22"/>
    </w:rPr>
  </w:style>
  <w:style w:type="character" w:customStyle="1" w:styleId="maintitle">
    <w:name w:val="maintitle"/>
    <w:basedOn w:val="DefaultParagraphFont"/>
    <w:rsid w:val="00714867"/>
  </w:style>
  <w:style w:type="paragraph" w:styleId="BalloonText">
    <w:name w:val="Balloon Text"/>
    <w:basedOn w:val="Normal"/>
    <w:link w:val="BalloonTextChar"/>
    <w:uiPriority w:val="99"/>
    <w:semiHidden/>
    <w:unhideWhenUsed/>
    <w:rsid w:val="0071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6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c\Documents\SAIP%20+%20ACTUAL%20THESIS%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tric\Documents\SAIP%20+%20ACTUAL%20THESIS%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98513458816887"/>
          <c:y val="4.3278300077040387E-2"/>
          <c:w val="0.83362770553525412"/>
          <c:h val="0.74271578704829755"/>
        </c:manualLayout>
      </c:layout>
      <c:scatterChart>
        <c:scatterStyle val="smoothMarker"/>
        <c:ser>
          <c:idx val="0"/>
          <c:order val="0"/>
          <c:tx>
            <c:strRef>
              <c:f>Sheet1!$B$1</c:f>
              <c:strCache>
                <c:ptCount val="1"/>
                <c:pt idx="0">
                  <c:v>Goat dung</c:v>
                </c:pt>
              </c:strCache>
            </c:strRef>
          </c:tx>
          <c:xVal>
            <c:numRef>
              <c:f>Sheet1!$A$2:$A$24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Sheet1!$B$2:$B$24</c:f>
              <c:numCache>
                <c:formatCode>General</c:formatCode>
                <c:ptCount val="23"/>
                <c:pt idx="0">
                  <c:v>0</c:v>
                </c:pt>
                <c:pt idx="1">
                  <c:v>48</c:v>
                </c:pt>
                <c:pt idx="2">
                  <c:v>112</c:v>
                </c:pt>
                <c:pt idx="3">
                  <c:v>156</c:v>
                </c:pt>
                <c:pt idx="4">
                  <c:v>243</c:v>
                </c:pt>
                <c:pt idx="5">
                  <c:v>304</c:v>
                </c:pt>
                <c:pt idx="6">
                  <c:v>395</c:v>
                </c:pt>
                <c:pt idx="7">
                  <c:v>439</c:v>
                </c:pt>
                <c:pt idx="8">
                  <c:v>596</c:v>
                </c:pt>
                <c:pt idx="9">
                  <c:v>705</c:v>
                </c:pt>
                <c:pt idx="10">
                  <c:v>845</c:v>
                </c:pt>
                <c:pt idx="11">
                  <c:v>900</c:v>
                </c:pt>
                <c:pt idx="12">
                  <c:v>705</c:v>
                </c:pt>
                <c:pt idx="13">
                  <c:v>601</c:v>
                </c:pt>
                <c:pt idx="14">
                  <c:v>427</c:v>
                </c:pt>
                <c:pt idx="15">
                  <c:v>301</c:v>
                </c:pt>
                <c:pt idx="16">
                  <c:v>215</c:v>
                </c:pt>
                <c:pt idx="17">
                  <c:v>150</c:v>
                </c:pt>
                <c:pt idx="18">
                  <c:v>98</c:v>
                </c:pt>
                <c:pt idx="19">
                  <c:v>77</c:v>
                </c:pt>
                <c:pt idx="20">
                  <c:v>60</c:v>
                </c:pt>
                <c:pt idx="21">
                  <c:v>23</c:v>
                </c:pt>
                <c:pt idx="22">
                  <c:v>13</c:v>
                </c:pt>
              </c:numCache>
            </c:numRef>
          </c:yVal>
          <c:smooth val="1"/>
        </c:ser>
        <c:ser>
          <c:idx val="1"/>
          <c:order val="1"/>
          <c:tx>
            <c:strRef>
              <c:f>Sheet1!$C$1</c:f>
              <c:strCache>
                <c:ptCount val="1"/>
                <c:pt idx="0">
                  <c:v>Horse dung</c:v>
                </c:pt>
              </c:strCache>
            </c:strRef>
          </c:tx>
          <c:xVal>
            <c:numRef>
              <c:f>Sheet1!$A$2:$A$24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Sheet1!$C$2:$C$24</c:f>
              <c:numCache>
                <c:formatCode>General</c:formatCode>
                <c:ptCount val="23"/>
                <c:pt idx="0">
                  <c:v>0</c:v>
                </c:pt>
                <c:pt idx="1">
                  <c:v>23</c:v>
                </c:pt>
                <c:pt idx="2">
                  <c:v>108</c:v>
                </c:pt>
                <c:pt idx="3">
                  <c:v>141</c:v>
                </c:pt>
                <c:pt idx="4">
                  <c:v>153</c:v>
                </c:pt>
                <c:pt idx="5">
                  <c:v>287</c:v>
                </c:pt>
                <c:pt idx="6">
                  <c:v>376</c:v>
                </c:pt>
                <c:pt idx="7">
                  <c:v>423</c:v>
                </c:pt>
                <c:pt idx="8">
                  <c:v>534</c:v>
                </c:pt>
                <c:pt idx="9">
                  <c:v>489</c:v>
                </c:pt>
                <c:pt idx="10">
                  <c:v>557</c:v>
                </c:pt>
                <c:pt idx="11">
                  <c:v>613</c:v>
                </c:pt>
                <c:pt idx="12">
                  <c:v>813</c:v>
                </c:pt>
                <c:pt idx="13">
                  <c:v>602</c:v>
                </c:pt>
                <c:pt idx="14">
                  <c:v>564</c:v>
                </c:pt>
                <c:pt idx="15">
                  <c:v>431</c:v>
                </c:pt>
                <c:pt idx="16">
                  <c:v>401</c:v>
                </c:pt>
                <c:pt idx="17">
                  <c:v>179</c:v>
                </c:pt>
                <c:pt idx="18">
                  <c:v>211</c:v>
                </c:pt>
                <c:pt idx="19">
                  <c:v>91</c:v>
                </c:pt>
                <c:pt idx="20">
                  <c:v>45</c:v>
                </c:pt>
                <c:pt idx="21">
                  <c:v>56</c:v>
                </c:pt>
                <c:pt idx="22">
                  <c:v>34</c:v>
                </c:pt>
              </c:numCache>
            </c:numRef>
          </c:yVal>
          <c:smooth val="1"/>
        </c:ser>
        <c:axId val="114336512"/>
        <c:axId val="114338432"/>
      </c:scatterChart>
      <c:valAx>
        <c:axId val="114336512"/>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Retention time/ days</a:t>
                </a:r>
              </a:p>
            </c:rich>
          </c:tx>
          <c:layout>
            <c:manualLayout>
              <c:xMode val="edge"/>
              <c:yMode val="edge"/>
              <c:x val="0.47007006149817582"/>
              <c:y val="0.87819723763812196"/>
            </c:manualLayout>
          </c:layout>
        </c:title>
        <c:numFmt formatCode="General" sourceLinked="1"/>
        <c:tickLblPos val="nextTo"/>
        <c:txPr>
          <a:bodyPr/>
          <a:lstStyle/>
          <a:p>
            <a:pPr>
              <a:defRPr sz="1100">
                <a:latin typeface="Times New Roman" pitchFamily="18" charset="0"/>
                <a:cs typeface="Times New Roman" pitchFamily="18" charset="0"/>
              </a:defRPr>
            </a:pPr>
            <a:endParaRPr lang="en-US"/>
          </a:p>
        </c:txPr>
        <c:crossAx val="114338432"/>
        <c:crosses val="autoZero"/>
        <c:crossBetween val="midCat"/>
      </c:valAx>
      <c:valAx>
        <c:axId val="114338432"/>
        <c:scaling>
          <c:orientation val="minMax"/>
        </c:scaling>
        <c:axPos val="l"/>
        <c:title>
          <c:tx>
            <c:rich>
              <a:bodyPr rot="-5400000" vert="horz"/>
              <a:lstStyle/>
              <a:p>
                <a:pPr>
                  <a:defRPr sz="1100" b="1">
                    <a:latin typeface="Times New Roman" pitchFamily="18" charset="0"/>
                    <a:cs typeface="Times New Roman" pitchFamily="18" charset="0"/>
                  </a:defRPr>
                </a:pPr>
                <a:r>
                  <a:rPr lang="en-US" sz="1100" b="1">
                    <a:latin typeface="Times New Roman" pitchFamily="18" charset="0"/>
                    <a:cs typeface="Times New Roman" pitchFamily="18" charset="0"/>
                  </a:rPr>
                  <a:t>Gas</a:t>
                </a:r>
                <a:r>
                  <a:rPr lang="en-US" sz="1100" b="1" baseline="0">
                    <a:latin typeface="Times New Roman" pitchFamily="18" charset="0"/>
                    <a:cs typeface="Times New Roman" pitchFamily="18" charset="0"/>
                  </a:rPr>
                  <a:t> yield/ litres</a:t>
                </a:r>
                <a:endParaRPr lang="en-US" sz="1100" b="1">
                  <a:latin typeface="Times New Roman" pitchFamily="18" charset="0"/>
                  <a:cs typeface="Times New Roman" pitchFamily="18" charset="0"/>
                </a:endParaRPr>
              </a:p>
            </c:rich>
          </c:tx>
          <c:spPr>
            <a:ln>
              <a:noFill/>
            </a:ln>
          </c:spPr>
        </c:title>
        <c:numFmt formatCode="General" sourceLinked="1"/>
        <c:tickLblPos val="nextTo"/>
        <c:spPr>
          <a:ln w="0" cmpd="thinThick"/>
        </c:spPr>
        <c:txPr>
          <a:bodyPr/>
          <a:lstStyle/>
          <a:p>
            <a:pPr>
              <a:defRPr sz="1100">
                <a:latin typeface="Times New Roman" pitchFamily="18" charset="0"/>
                <a:cs typeface="Times New Roman" pitchFamily="18" charset="0"/>
              </a:defRPr>
            </a:pPr>
            <a:endParaRPr lang="en-US"/>
          </a:p>
        </c:txPr>
        <c:crossAx val="114336512"/>
        <c:crosses val="autoZero"/>
        <c:crossBetween val="midCat"/>
      </c:valAx>
      <c:spPr>
        <a:noFill/>
        <a:ln w="0" cmpd="thinThick">
          <a:solidFill>
            <a:schemeClr val="tx1"/>
          </a:solidFill>
        </a:ln>
      </c:spPr>
    </c:plotArea>
    <c:legend>
      <c:legendPos val="r"/>
      <c:layout>
        <c:manualLayout>
          <c:xMode val="edge"/>
          <c:yMode val="edge"/>
          <c:x val="0.65847695677550444"/>
          <c:y val="0.16004022288878786"/>
          <c:w val="0.2783519210010974"/>
          <c:h val="0.31601323209508342"/>
        </c:manualLayout>
      </c:layout>
      <c:txPr>
        <a:bodyPr/>
        <a:lstStyle/>
        <a:p>
          <a:pPr>
            <a:defRPr sz="1100">
              <a:latin typeface="Times New Roman" pitchFamily="18" charset="0"/>
              <a:cs typeface="Times New Roman" pitchFamily="18"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857443755076232"/>
          <c:y val="0.12988847914658597"/>
          <c:w val="0.82497371037355816"/>
          <c:h val="0.70149195676735177"/>
        </c:manualLayout>
      </c:layout>
      <c:scatterChart>
        <c:scatterStyle val="smoothMarker"/>
        <c:ser>
          <c:idx val="0"/>
          <c:order val="0"/>
          <c:tx>
            <c:strRef>
              <c:f>Sheet1!$D$1</c:f>
              <c:strCache>
                <c:ptCount val="1"/>
                <c:pt idx="0">
                  <c:v>60% horse, 40% goat dung</c:v>
                </c:pt>
              </c:strCache>
            </c:strRef>
          </c:tx>
          <c:xVal>
            <c:numRef>
              <c:f>Sheet1!$A$2:$A$24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Sheet1!$D$2:$D$24</c:f>
              <c:numCache>
                <c:formatCode>General</c:formatCode>
                <c:ptCount val="23"/>
                <c:pt idx="0">
                  <c:v>0</c:v>
                </c:pt>
                <c:pt idx="1">
                  <c:v>35</c:v>
                </c:pt>
                <c:pt idx="2">
                  <c:v>156</c:v>
                </c:pt>
                <c:pt idx="3">
                  <c:v>357</c:v>
                </c:pt>
                <c:pt idx="4">
                  <c:v>469</c:v>
                </c:pt>
                <c:pt idx="5">
                  <c:v>576</c:v>
                </c:pt>
                <c:pt idx="6">
                  <c:v>661</c:v>
                </c:pt>
                <c:pt idx="7">
                  <c:v>796</c:v>
                </c:pt>
                <c:pt idx="8">
                  <c:v>869</c:v>
                </c:pt>
                <c:pt idx="9">
                  <c:v>986</c:v>
                </c:pt>
                <c:pt idx="10">
                  <c:v>1123</c:v>
                </c:pt>
                <c:pt idx="11">
                  <c:v>1013</c:v>
                </c:pt>
                <c:pt idx="12">
                  <c:v>845</c:v>
                </c:pt>
                <c:pt idx="13">
                  <c:v>502</c:v>
                </c:pt>
                <c:pt idx="14">
                  <c:v>403</c:v>
                </c:pt>
                <c:pt idx="15">
                  <c:v>310</c:v>
                </c:pt>
                <c:pt idx="16">
                  <c:v>123</c:v>
                </c:pt>
                <c:pt idx="17">
                  <c:v>75</c:v>
                </c:pt>
                <c:pt idx="18">
                  <c:v>57</c:v>
                </c:pt>
                <c:pt idx="19">
                  <c:v>35</c:v>
                </c:pt>
                <c:pt idx="20">
                  <c:v>34</c:v>
                </c:pt>
                <c:pt idx="21">
                  <c:v>20</c:v>
                </c:pt>
                <c:pt idx="22">
                  <c:v>15</c:v>
                </c:pt>
              </c:numCache>
            </c:numRef>
          </c:yVal>
          <c:smooth val="1"/>
        </c:ser>
        <c:ser>
          <c:idx val="1"/>
          <c:order val="1"/>
          <c:tx>
            <c:strRef>
              <c:f>Sheet1!$E$1</c:f>
              <c:strCache>
                <c:ptCount val="1"/>
                <c:pt idx="0">
                  <c:v>75% horse, 25% goat dung</c:v>
                </c:pt>
              </c:strCache>
            </c:strRef>
          </c:tx>
          <c:xVal>
            <c:numRef>
              <c:f>Sheet1!$A$2:$A$24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Sheet1!$E$2:$E$24</c:f>
              <c:numCache>
                <c:formatCode>General</c:formatCode>
                <c:ptCount val="23"/>
                <c:pt idx="0">
                  <c:v>0</c:v>
                </c:pt>
                <c:pt idx="1">
                  <c:v>26</c:v>
                </c:pt>
                <c:pt idx="2">
                  <c:v>116</c:v>
                </c:pt>
                <c:pt idx="3">
                  <c:v>278</c:v>
                </c:pt>
                <c:pt idx="4">
                  <c:v>298</c:v>
                </c:pt>
                <c:pt idx="5">
                  <c:v>376</c:v>
                </c:pt>
                <c:pt idx="6">
                  <c:v>502</c:v>
                </c:pt>
                <c:pt idx="7">
                  <c:v>672</c:v>
                </c:pt>
                <c:pt idx="8">
                  <c:v>663</c:v>
                </c:pt>
                <c:pt idx="9">
                  <c:v>859</c:v>
                </c:pt>
                <c:pt idx="10">
                  <c:v>968</c:v>
                </c:pt>
                <c:pt idx="11">
                  <c:v>1056</c:v>
                </c:pt>
                <c:pt idx="12">
                  <c:v>898</c:v>
                </c:pt>
                <c:pt idx="13">
                  <c:v>562</c:v>
                </c:pt>
                <c:pt idx="14">
                  <c:v>632</c:v>
                </c:pt>
                <c:pt idx="15">
                  <c:v>437</c:v>
                </c:pt>
                <c:pt idx="16">
                  <c:v>178</c:v>
                </c:pt>
                <c:pt idx="17">
                  <c:v>98</c:v>
                </c:pt>
                <c:pt idx="18">
                  <c:v>61</c:v>
                </c:pt>
                <c:pt idx="19">
                  <c:v>78</c:v>
                </c:pt>
                <c:pt idx="20">
                  <c:v>34</c:v>
                </c:pt>
                <c:pt idx="21">
                  <c:v>22</c:v>
                </c:pt>
                <c:pt idx="22">
                  <c:v>15</c:v>
                </c:pt>
              </c:numCache>
            </c:numRef>
          </c:yVal>
          <c:smooth val="1"/>
        </c:ser>
        <c:ser>
          <c:idx val="2"/>
          <c:order val="2"/>
          <c:tx>
            <c:strRef>
              <c:f>Sheet1!$F$1</c:f>
              <c:strCache>
                <c:ptCount val="1"/>
                <c:pt idx="0">
                  <c:v>50% horse, 50% goat dung</c:v>
                </c:pt>
              </c:strCache>
            </c:strRef>
          </c:tx>
          <c:xVal>
            <c:numRef>
              <c:f>Sheet1!$A$2:$A$24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Sheet1!$F$2:$F$24</c:f>
              <c:numCache>
                <c:formatCode>General</c:formatCode>
                <c:ptCount val="23"/>
                <c:pt idx="0">
                  <c:v>0</c:v>
                </c:pt>
                <c:pt idx="1">
                  <c:v>47</c:v>
                </c:pt>
                <c:pt idx="2">
                  <c:v>130</c:v>
                </c:pt>
                <c:pt idx="3">
                  <c:v>298</c:v>
                </c:pt>
                <c:pt idx="4">
                  <c:v>401</c:v>
                </c:pt>
                <c:pt idx="5">
                  <c:v>679</c:v>
                </c:pt>
                <c:pt idx="6">
                  <c:v>756</c:v>
                </c:pt>
                <c:pt idx="7">
                  <c:v>854</c:v>
                </c:pt>
                <c:pt idx="8">
                  <c:v>976</c:v>
                </c:pt>
                <c:pt idx="9">
                  <c:v>1156</c:v>
                </c:pt>
                <c:pt idx="10">
                  <c:v>1210</c:v>
                </c:pt>
                <c:pt idx="11">
                  <c:v>1016</c:v>
                </c:pt>
                <c:pt idx="12">
                  <c:v>976</c:v>
                </c:pt>
                <c:pt idx="13">
                  <c:v>754</c:v>
                </c:pt>
                <c:pt idx="14">
                  <c:v>557</c:v>
                </c:pt>
                <c:pt idx="15">
                  <c:v>389</c:v>
                </c:pt>
                <c:pt idx="16">
                  <c:v>243</c:v>
                </c:pt>
                <c:pt idx="17">
                  <c:v>78</c:v>
                </c:pt>
                <c:pt idx="18">
                  <c:v>53</c:v>
                </c:pt>
                <c:pt idx="19">
                  <c:v>54</c:v>
                </c:pt>
                <c:pt idx="20">
                  <c:v>15</c:v>
                </c:pt>
                <c:pt idx="21">
                  <c:v>12</c:v>
                </c:pt>
                <c:pt idx="22">
                  <c:v>12</c:v>
                </c:pt>
              </c:numCache>
            </c:numRef>
          </c:yVal>
          <c:smooth val="1"/>
        </c:ser>
        <c:ser>
          <c:idx val="3"/>
          <c:order val="3"/>
          <c:tx>
            <c:strRef>
              <c:f>Sheet1!$G$1</c:f>
              <c:strCache>
                <c:ptCount val="1"/>
                <c:pt idx="0">
                  <c:v>40% horse, 60% goat dung</c:v>
                </c:pt>
              </c:strCache>
            </c:strRef>
          </c:tx>
          <c:xVal>
            <c:numRef>
              <c:f>Sheet1!$A$2:$A$24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Sheet1!$G$2:$G$24</c:f>
              <c:numCache>
                <c:formatCode>General</c:formatCode>
                <c:ptCount val="23"/>
                <c:pt idx="0">
                  <c:v>0</c:v>
                </c:pt>
                <c:pt idx="1">
                  <c:v>46</c:v>
                </c:pt>
                <c:pt idx="2">
                  <c:v>196</c:v>
                </c:pt>
                <c:pt idx="3">
                  <c:v>394</c:v>
                </c:pt>
                <c:pt idx="4">
                  <c:v>579</c:v>
                </c:pt>
                <c:pt idx="5">
                  <c:v>780</c:v>
                </c:pt>
                <c:pt idx="6">
                  <c:v>957</c:v>
                </c:pt>
                <c:pt idx="7">
                  <c:v>1112</c:v>
                </c:pt>
                <c:pt idx="8">
                  <c:v>1236</c:v>
                </c:pt>
                <c:pt idx="9">
                  <c:v>1370</c:v>
                </c:pt>
                <c:pt idx="10">
                  <c:v>905</c:v>
                </c:pt>
                <c:pt idx="11">
                  <c:v>728</c:v>
                </c:pt>
                <c:pt idx="12">
                  <c:v>634</c:v>
                </c:pt>
                <c:pt idx="13">
                  <c:v>568</c:v>
                </c:pt>
                <c:pt idx="14">
                  <c:v>426</c:v>
                </c:pt>
                <c:pt idx="15">
                  <c:v>367</c:v>
                </c:pt>
                <c:pt idx="16">
                  <c:v>245</c:v>
                </c:pt>
                <c:pt idx="17">
                  <c:v>158</c:v>
                </c:pt>
                <c:pt idx="18">
                  <c:v>123</c:v>
                </c:pt>
                <c:pt idx="19">
                  <c:v>57</c:v>
                </c:pt>
                <c:pt idx="20">
                  <c:v>34</c:v>
                </c:pt>
                <c:pt idx="21">
                  <c:v>15</c:v>
                </c:pt>
              </c:numCache>
            </c:numRef>
          </c:yVal>
          <c:smooth val="1"/>
        </c:ser>
        <c:axId val="102566144"/>
        <c:axId val="102580608"/>
      </c:scatterChart>
      <c:valAx>
        <c:axId val="102566144"/>
        <c:scaling>
          <c:orientation val="minMax"/>
        </c:scaling>
        <c:axPos val="b"/>
        <c:title>
          <c:tx>
            <c:rich>
              <a:bodyPr/>
              <a:lstStyle/>
              <a:p>
                <a:pPr>
                  <a:defRPr/>
                </a:pPr>
                <a:r>
                  <a:rPr lang="en-US"/>
                  <a:t>Retention time/ days</a:t>
                </a:r>
              </a:p>
            </c:rich>
          </c:tx>
          <c:layout>
            <c:manualLayout>
              <c:xMode val="edge"/>
              <c:yMode val="edge"/>
              <c:x val="0.44217324994626245"/>
              <c:y val="0.92845112345937064"/>
            </c:manualLayout>
          </c:layout>
        </c:title>
        <c:numFmt formatCode="General" sourceLinked="1"/>
        <c:tickLblPos val="nextTo"/>
        <c:crossAx val="102580608"/>
        <c:crosses val="autoZero"/>
        <c:crossBetween val="midCat"/>
      </c:valAx>
      <c:valAx>
        <c:axId val="102580608"/>
        <c:scaling>
          <c:orientation val="minMax"/>
        </c:scaling>
        <c:axPos val="l"/>
        <c:title>
          <c:tx>
            <c:rich>
              <a:bodyPr rot="-5400000" vert="horz"/>
              <a:lstStyle/>
              <a:p>
                <a:pPr>
                  <a:defRPr/>
                </a:pPr>
                <a:r>
                  <a:rPr lang="en-US"/>
                  <a:t>Gas yield/ litres</a:t>
                </a:r>
              </a:p>
            </c:rich>
          </c:tx>
        </c:title>
        <c:numFmt formatCode="General" sourceLinked="1"/>
        <c:tickLblPos val="nextTo"/>
        <c:crossAx val="102566144"/>
        <c:crosses val="autoZero"/>
        <c:crossBetween val="midCat"/>
      </c:valAx>
      <c:spPr>
        <a:noFill/>
        <a:ln w="0" cmpd="thinThick">
          <a:solidFill>
            <a:sysClr val="windowText" lastClr="000000"/>
          </a:solidFill>
        </a:ln>
      </c:spPr>
    </c:plotArea>
    <c:legend>
      <c:legendPos val="r"/>
      <c:layout>
        <c:manualLayout>
          <c:xMode val="edge"/>
          <c:yMode val="edge"/>
          <c:x val="0.60851960328914945"/>
          <c:y val="0.15404263274962843"/>
          <c:w val="0.29679974251455465"/>
          <c:h val="0.53521568864657265"/>
        </c:manualLayout>
      </c:layout>
    </c:legend>
    <c:plotVisOnly val="1"/>
  </c:chart>
  <c:spPr>
    <a:ln>
      <a:noFill/>
    </a:ln>
  </c:spPr>
  <c:txPr>
    <a:bodyPr/>
    <a:lstStyle/>
    <a:p>
      <a:pPr>
        <a:defRPr sz="11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dc:creator>
  <cp:lastModifiedBy>Patric</cp:lastModifiedBy>
  <cp:revision>2</cp:revision>
  <dcterms:created xsi:type="dcterms:W3CDTF">2014-11-18T11:25:00Z</dcterms:created>
  <dcterms:modified xsi:type="dcterms:W3CDTF">2014-11-18T11:25:00Z</dcterms:modified>
</cp:coreProperties>
</file>