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04" w:rsidRPr="00C80A70" w:rsidRDefault="00C80A70" w:rsidP="00A52B04">
      <w:pPr>
        <w:autoSpaceDE w:val="0"/>
        <w:autoSpaceDN w:val="0"/>
        <w:adjustRightInd w:val="0"/>
        <w:rPr>
          <w:rFonts w:ascii="Times New Roman" w:hAnsi="Times New Roman"/>
          <w:b/>
          <w:bCs/>
          <w:color w:val="000000"/>
          <w:sz w:val="28"/>
          <w:szCs w:val="28"/>
        </w:rPr>
      </w:pPr>
      <w:r w:rsidRPr="00C80A70">
        <w:rPr>
          <w:rFonts w:ascii="Times New Roman" w:hAnsi="Times New Roman"/>
          <w:b/>
          <w:bCs/>
          <w:color w:val="000000"/>
          <w:sz w:val="28"/>
          <w:szCs w:val="28"/>
        </w:rPr>
        <w:t>Is Foundation Provision the solution to the first year students’ performance?</w:t>
      </w:r>
    </w:p>
    <w:p w:rsidR="00A52B04" w:rsidRDefault="00A52B04" w:rsidP="00A52B04">
      <w:pPr>
        <w:autoSpaceDE w:val="0"/>
        <w:autoSpaceDN w:val="0"/>
        <w:adjustRightInd w:val="0"/>
        <w:rPr>
          <w:rFonts w:ascii="Times-Bold" w:hAnsi="Times-Bold" w:cs="Times-Bold"/>
          <w:b/>
          <w:bCs/>
          <w:color w:val="000000"/>
          <w:sz w:val="28"/>
          <w:szCs w:val="28"/>
        </w:rPr>
      </w:pPr>
      <w:r>
        <w:rPr>
          <w:rFonts w:ascii="Times-Bold" w:hAnsi="Times-Bold" w:cs="Times-Bold"/>
          <w:b/>
          <w:bCs/>
          <w:color w:val="000000"/>
          <w:sz w:val="28"/>
          <w:szCs w:val="28"/>
        </w:rPr>
        <w:tab/>
        <w:t xml:space="preserve">       </w:t>
      </w:r>
    </w:p>
    <w:p w:rsidR="00097FEC" w:rsidRPr="00A52B04" w:rsidRDefault="00A52B04" w:rsidP="00A52B04">
      <w:pPr>
        <w:autoSpaceDE w:val="0"/>
        <w:autoSpaceDN w:val="0"/>
        <w:adjustRightInd w:val="0"/>
        <w:rPr>
          <w:rFonts w:ascii="Times-Bold" w:hAnsi="Times-Bold" w:cs="Times-Bold"/>
          <w:b/>
          <w:bCs/>
          <w:color w:val="000000"/>
          <w:sz w:val="28"/>
          <w:szCs w:val="28"/>
        </w:rPr>
      </w:pPr>
      <w:r>
        <w:rPr>
          <w:rFonts w:ascii="Times-Bold" w:hAnsi="Times-Bold" w:cs="Times-Bold"/>
          <w:b/>
          <w:bCs/>
          <w:color w:val="000000"/>
          <w:sz w:val="28"/>
          <w:szCs w:val="28"/>
        </w:rPr>
        <w:t xml:space="preserve">                   </w:t>
      </w:r>
      <w:r w:rsidR="00C80A70">
        <w:rPr>
          <w:rFonts w:ascii="Times New Roman" w:hAnsi="Times New Roman"/>
          <w:b/>
          <w:sz w:val="24"/>
          <w:szCs w:val="24"/>
        </w:rPr>
        <w:t xml:space="preserve">B M Sondezi, </w:t>
      </w:r>
      <w:r w:rsidR="005A1D58">
        <w:rPr>
          <w:rFonts w:ascii="Times New Roman" w:hAnsi="Times New Roman"/>
          <w:b/>
          <w:sz w:val="24"/>
          <w:szCs w:val="24"/>
        </w:rPr>
        <w:t>P</w:t>
      </w:r>
      <w:r w:rsidR="00097FEC">
        <w:rPr>
          <w:rFonts w:ascii="Times New Roman" w:hAnsi="Times New Roman"/>
          <w:b/>
          <w:sz w:val="24"/>
          <w:szCs w:val="24"/>
        </w:rPr>
        <w:t xml:space="preserve"> </w:t>
      </w:r>
      <w:r w:rsidR="005A1D58">
        <w:rPr>
          <w:rFonts w:ascii="Times New Roman" w:hAnsi="Times New Roman"/>
          <w:b/>
          <w:sz w:val="24"/>
          <w:szCs w:val="24"/>
        </w:rPr>
        <w:t>Molefe</w:t>
      </w:r>
    </w:p>
    <w:p w:rsidR="00122785" w:rsidRDefault="00122785" w:rsidP="00D17053">
      <w:pPr>
        <w:pStyle w:val="Addresses"/>
      </w:pPr>
    </w:p>
    <w:p w:rsidR="00097FEC" w:rsidRPr="00262D7E" w:rsidRDefault="00097FEC" w:rsidP="00307A0A">
      <w:pPr>
        <w:pStyle w:val="Addresses"/>
        <w:rPr>
          <w:b/>
          <w:sz w:val="24"/>
          <w:szCs w:val="24"/>
        </w:rPr>
      </w:pPr>
      <w:r w:rsidRPr="00262D7E">
        <w:t>University of Johannesburg</w:t>
      </w:r>
      <w:r>
        <w:t xml:space="preserve"> (UJ)</w:t>
      </w:r>
      <w:r w:rsidR="008E326F">
        <w:t>, P.O.</w:t>
      </w:r>
      <w:r w:rsidR="00600A51">
        <w:t xml:space="preserve"> </w:t>
      </w:r>
      <w:r w:rsidR="008E326F">
        <w:t>Box</w:t>
      </w:r>
      <w:r w:rsidRPr="00262D7E">
        <w:t xml:space="preserve"> 524, Auckland Park, 2006</w:t>
      </w:r>
    </w:p>
    <w:p w:rsidR="00695E47" w:rsidRDefault="00D17053" w:rsidP="00695E47">
      <w:pPr>
        <w:pStyle w:val="E-mail"/>
        <w:rPr>
          <w:lang w:val="fr-FR"/>
        </w:rPr>
      </w:pPr>
      <w:r w:rsidRPr="00695E47">
        <w:rPr>
          <w:lang w:val="fr-FR"/>
        </w:rPr>
        <w:t xml:space="preserve">Email: </w:t>
      </w:r>
      <w:hyperlink r:id="rId8" w:history="1">
        <w:r w:rsidR="00C80A70" w:rsidRPr="00787929">
          <w:rPr>
            <w:rStyle w:val="Hyperlink"/>
            <w:lang w:val="fr-FR"/>
          </w:rPr>
          <w:t>bmsondezi@uj.ac.za</w:t>
        </w:r>
      </w:hyperlink>
    </w:p>
    <w:p w:rsidR="002F04E0" w:rsidRPr="00C80A70" w:rsidRDefault="00122785" w:rsidP="009C4792">
      <w:pPr>
        <w:pStyle w:val="E-mail"/>
        <w:spacing w:line="276" w:lineRule="auto"/>
        <w:ind w:left="0"/>
        <w:jc w:val="both"/>
      </w:pPr>
      <w:r w:rsidRPr="00695E47">
        <w:rPr>
          <w:b/>
        </w:rPr>
        <w:t>Abstract</w:t>
      </w:r>
      <w:r w:rsidR="00695E47" w:rsidRPr="00695E47">
        <w:rPr>
          <w:b/>
        </w:rPr>
        <w:t xml:space="preserve">: </w:t>
      </w:r>
      <w:r w:rsidR="00C80A70" w:rsidRPr="00C80A70">
        <w:t xml:space="preserve">An introduction of Foundation Provision Programme (FPP) in the physics content of first year physics at the University of Johannesburg (UJ) has shown an observable improvement in the performance of the students. It was observed that one of the major sources of difficulty experienced by students in understanding physics concepts </w:t>
      </w:r>
      <w:r w:rsidR="008E326F">
        <w:t>were due to</w:t>
      </w:r>
      <w:r w:rsidR="00C80A70" w:rsidRPr="00C80A70">
        <w:t xml:space="preserve"> the lack of mathematical skills which are not fully developed as they exit Further Education and Training (FET) level. An introduction of the mathematical concepts within the physics content at the beginning of main physics syllabus at UJ for a four-year programme was observed to produce improved results. However, at the beginning of 2012 the content of the first section of FPP was introduced within the physics content as compared to what was done and reported in the previous year. This simultaneous </w:t>
      </w:r>
      <w:r w:rsidR="00BF6ADC">
        <w:t>as</w:t>
      </w:r>
      <w:r w:rsidR="00C80A70" w:rsidRPr="00C80A70">
        <w:t>sim</w:t>
      </w:r>
      <w:r w:rsidR="00BF6ADC">
        <w:t>i</w:t>
      </w:r>
      <w:r w:rsidR="00C80A70" w:rsidRPr="00C80A70">
        <w:t>lation of both physics and mathematical basic concepts was observed and analyzed and the recommendation of the better method is suggested based on the students</w:t>
      </w:r>
      <w:r w:rsidR="008E326F">
        <w:t>’</w:t>
      </w:r>
      <w:r w:rsidR="00C80A70" w:rsidRPr="00C80A70">
        <w:t xml:space="preserve"> performances in the first term of 2011 and 2012, respectively.</w:t>
      </w:r>
    </w:p>
    <w:p w:rsidR="00097FEC" w:rsidRPr="00CF7FB5" w:rsidRDefault="00097FEC" w:rsidP="002742AE">
      <w:pPr>
        <w:pStyle w:val="Section"/>
        <w:rPr>
          <w:sz w:val="24"/>
          <w:szCs w:val="24"/>
        </w:rPr>
      </w:pPr>
      <w:r w:rsidRPr="00CF7FB5">
        <w:rPr>
          <w:sz w:val="24"/>
          <w:szCs w:val="24"/>
        </w:rPr>
        <w:t>Introduction</w:t>
      </w:r>
    </w:p>
    <w:p w:rsidR="00097FEC" w:rsidRPr="00097FEC" w:rsidRDefault="00097FEC" w:rsidP="00466A88">
      <w:pPr>
        <w:pStyle w:val="Bodytext"/>
        <w:rPr>
          <w:lang w:val="en-GB"/>
        </w:rPr>
      </w:pPr>
    </w:p>
    <w:p w:rsidR="00DB64DE" w:rsidRDefault="00E27BE1" w:rsidP="009C4792">
      <w:pPr>
        <w:autoSpaceDE w:val="0"/>
        <w:autoSpaceDN w:val="0"/>
        <w:adjustRightInd w:val="0"/>
        <w:spacing w:line="276" w:lineRule="auto"/>
        <w:jc w:val="both"/>
        <w:rPr>
          <w:iCs/>
          <w:color w:val="000000"/>
          <w:szCs w:val="22"/>
        </w:rPr>
      </w:pPr>
      <w:r w:rsidRPr="00E27BE1">
        <w:rPr>
          <w:iCs/>
          <w:color w:val="000000"/>
          <w:szCs w:val="22"/>
        </w:rPr>
        <w:t>Science, Engineering and Technology (SET) have become essential in the development of the country in all its facets. It has been observed over the past few years that students entering university for degree studies in their respective fields experience considerable</w:t>
      </w:r>
      <w:r>
        <w:rPr>
          <w:iCs/>
          <w:color w:val="000000"/>
          <w:szCs w:val="22"/>
        </w:rPr>
        <w:t xml:space="preserve"> </w:t>
      </w:r>
      <w:r w:rsidRPr="00E27BE1">
        <w:rPr>
          <w:iCs/>
          <w:color w:val="000000"/>
          <w:szCs w:val="22"/>
        </w:rPr>
        <w:t xml:space="preserve">level of difficulty. Inadequate understanding of basic mathematics and physics concepts has been identified as a critical deficiency characterizing the performance of SET first year university students. In an </w:t>
      </w:r>
      <w:r w:rsidR="008E326F" w:rsidRPr="00E27BE1">
        <w:rPr>
          <w:iCs/>
          <w:color w:val="000000"/>
          <w:szCs w:val="22"/>
        </w:rPr>
        <w:t>endeavour</w:t>
      </w:r>
      <w:r w:rsidRPr="00E27BE1">
        <w:rPr>
          <w:iCs/>
          <w:color w:val="000000"/>
          <w:szCs w:val="22"/>
        </w:rPr>
        <w:t xml:space="preserve"> to bring a necessary intervention to the understanding of the basic concepts related to mathematics and physical science, a four year program at the UJ introduced topics that focus on the fundamentals of these courses. As it was identified in the previous years that in understanding physics, students lack basic mathematics, therefore </w:t>
      </w:r>
      <w:r w:rsidR="00BF6ADC">
        <w:rPr>
          <w:iCs/>
          <w:color w:val="000000"/>
          <w:szCs w:val="22"/>
        </w:rPr>
        <w:t xml:space="preserve">the </w:t>
      </w:r>
      <w:r w:rsidRPr="00E27BE1">
        <w:rPr>
          <w:iCs/>
          <w:color w:val="000000"/>
          <w:szCs w:val="22"/>
        </w:rPr>
        <w:t>Foundation Provision Programm</w:t>
      </w:r>
      <w:r w:rsidR="00CC3A07">
        <w:rPr>
          <w:iCs/>
          <w:color w:val="000000"/>
          <w:szCs w:val="22"/>
        </w:rPr>
        <w:t>e</w:t>
      </w:r>
      <w:r w:rsidRPr="00E27BE1">
        <w:rPr>
          <w:iCs/>
          <w:color w:val="000000"/>
          <w:szCs w:val="22"/>
        </w:rPr>
        <w:t xml:space="preserve"> (FPP) was established in the year 2010</w:t>
      </w:r>
      <w:r w:rsidR="008E326F">
        <w:rPr>
          <w:iCs/>
          <w:color w:val="000000"/>
          <w:szCs w:val="22"/>
        </w:rPr>
        <w:t xml:space="preserve"> (Sondezi-Mhlungu, 2011)</w:t>
      </w:r>
      <w:r w:rsidRPr="00E27BE1">
        <w:rPr>
          <w:iCs/>
          <w:color w:val="000000"/>
          <w:szCs w:val="22"/>
        </w:rPr>
        <w:t>. FPP tried to bridge the gaps between the high school basic concepts and those expected to be well understood when entering first year of university.</w:t>
      </w:r>
      <w:r w:rsidR="00F76043">
        <w:rPr>
          <w:iCs/>
          <w:color w:val="000000"/>
          <w:szCs w:val="22"/>
        </w:rPr>
        <w:t xml:space="preserve"> </w:t>
      </w:r>
      <w:r w:rsidRPr="00E27BE1">
        <w:rPr>
          <w:iCs/>
          <w:color w:val="000000"/>
          <w:szCs w:val="22"/>
        </w:rPr>
        <w:t xml:space="preserve">In 2010, the first </w:t>
      </w:r>
      <w:r w:rsidR="00BF6ADC">
        <w:rPr>
          <w:iCs/>
          <w:color w:val="000000"/>
          <w:szCs w:val="22"/>
        </w:rPr>
        <w:t>three months (</w:t>
      </w:r>
      <w:r w:rsidRPr="00E27BE1">
        <w:rPr>
          <w:iCs/>
          <w:color w:val="000000"/>
          <w:szCs w:val="22"/>
        </w:rPr>
        <w:t>term</w:t>
      </w:r>
      <w:r w:rsidR="00BF6ADC">
        <w:rPr>
          <w:iCs/>
          <w:color w:val="000000"/>
          <w:szCs w:val="22"/>
        </w:rPr>
        <w:t>)</w:t>
      </w:r>
      <w:r w:rsidRPr="00E27BE1">
        <w:rPr>
          <w:iCs/>
          <w:color w:val="000000"/>
          <w:szCs w:val="22"/>
        </w:rPr>
        <w:t xml:space="preserve"> of the first semester </w:t>
      </w:r>
      <w:r w:rsidR="00BF6ADC">
        <w:rPr>
          <w:iCs/>
          <w:color w:val="000000"/>
          <w:szCs w:val="22"/>
        </w:rPr>
        <w:t xml:space="preserve">(first half of the year) </w:t>
      </w:r>
      <w:r w:rsidRPr="00E27BE1">
        <w:rPr>
          <w:iCs/>
          <w:color w:val="000000"/>
          <w:szCs w:val="22"/>
        </w:rPr>
        <w:t>was dedicated towards bringing about these necessary basic mathematical concepts and techniques needed in solving physics related problems. In 2011, the duration was increased from a term to a semester with an aim of increasing the performance of the students and the understanding of the physics concepts thereof</w:t>
      </w:r>
      <w:r w:rsidR="00E44F0E">
        <w:rPr>
          <w:iCs/>
          <w:color w:val="000000"/>
          <w:szCs w:val="22"/>
        </w:rPr>
        <w:t>. It was observed that the results did not show any</w:t>
      </w:r>
      <w:r w:rsidRPr="00E27BE1">
        <w:rPr>
          <w:iCs/>
          <w:color w:val="000000"/>
          <w:szCs w:val="22"/>
        </w:rPr>
        <w:t xml:space="preserve"> significant</w:t>
      </w:r>
      <w:r w:rsidR="00E44F0E">
        <w:rPr>
          <w:iCs/>
          <w:color w:val="000000"/>
          <w:szCs w:val="22"/>
        </w:rPr>
        <w:t xml:space="preserve"> difference</w:t>
      </w:r>
      <w:r w:rsidRPr="00E27BE1">
        <w:rPr>
          <w:iCs/>
          <w:color w:val="000000"/>
          <w:szCs w:val="22"/>
        </w:rPr>
        <w:t>, as they showed comparable average</w:t>
      </w:r>
      <w:r w:rsidR="00E44F0E">
        <w:rPr>
          <w:iCs/>
          <w:color w:val="000000"/>
          <w:szCs w:val="22"/>
        </w:rPr>
        <w:t>s of</w:t>
      </w:r>
      <w:r w:rsidRPr="00E27BE1">
        <w:rPr>
          <w:iCs/>
          <w:color w:val="000000"/>
          <w:szCs w:val="22"/>
        </w:rPr>
        <w:t xml:space="preserve"> students' performances at the end of the semester. It was then decided that for the year 2012</w:t>
      </w:r>
      <w:r w:rsidR="00E44F0E">
        <w:rPr>
          <w:iCs/>
          <w:color w:val="000000"/>
          <w:szCs w:val="22"/>
        </w:rPr>
        <w:t>,</w:t>
      </w:r>
      <w:r w:rsidRPr="00E27BE1">
        <w:rPr>
          <w:iCs/>
          <w:color w:val="000000"/>
          <w:szCs w:val="22"/>
        </w:rPr>
        <w:t xml:space="preserve"> FPP</w:t>
      </w:r>
      <w:r w:rsidR="00E44F0E">
        <w:rPr>
          <w:iCs/>
          <w:color w:val="000000"/>
          <w:szCs w:val="22"/>
        </w:rPr>
        <w:t xml:space="preserve"> would</w:t>
      </w:r>
      <w:r w:rsidRPr="00E27BE1">
        <w:rPr>
          <w:iCs/>
          <w:color w:val="000000"/>
          <w:szCs w:val="22"/>
        </w:rPr>
        <w:t xml:space="preserve"> be offered in a manner that the focus will be more on the physics topics. Basic mathematics was still offered in the context of physics. The pace was retained to </w:t>
      </w:r>
      <w:r w:rsidR="00725B03">
        <w:rPr>
          <w:iCs/>
          <w:color w:val="000000"/>
          <w:szCs w:val="22"/>
        </w:rPr>
        <w:t xml:space="preserve">be </w:t>
      </w:r>
      <w:r w:rsidRPr="00E27BE1">
        <w:rPr>
          <w:iCs/>
          <w:color w:val="000000"/>
          <w:szCs w:val="22"/>
        </w:rPr>
        <w:t xml:space="preserve">as slow as possible to allow simultaneous </w:t>
      </w:r>
      <w:r w:rsidR="00E44F0E" w:rsidRPr="00E44F0E">
        <w:rPr>
          <w:iCs/>
          <w:color w:val="000000"/>
          <w:szCs w:val="22"/>
        </w:rPr>
        <w:t>assimilation</w:t>
      </w:r>
      <w:r w:rsidRPr="00E27BE1">
        <w:rPr>
          <w:iCs/>
          <w:color w:val="000000"/>
          <w:szCs w:val="22"/>
        </w:rPr>
        <w:t xml:space="preserve"> of both mathematics and physics concepts.     </w:t>
      </w:r>
    </w:p>
    <w:p w:rsidR="00374479" w:rsidRDefault="00374479" w:rsidP="009C4792">
      <w:pPr>
        <w:autoSpaceDE w:val="0"/>
        <w:autoSpaceDN w:val="0"/>
        <w:adjustRightInd w:val="0"/>
        <w:spacing w:line="276" w:lineRule="auto"/>
        <w:jc w:val="both"/>
        <w:rPr>
          <w:iCs/>
          <w:color w:val="000000"/>
          <w:szCs w:val="22"/>
        </w:rPr>
      </w:pPr>
    </w:p>
    <w:p w:rsidR="00374479" w:rsidRPr="00374479" w:rsidRDefault="00374479" w:rsidP="009C4792">
      <w:pPr>
        <w:autoSpaceDE w:val="0"/>
        <w:autoSpaceDN w:val="0"/>
        <w:adjustRightInd w:val="0"/>
        <w:spacing w:line="276" w:lineRule="auto"/>
        <w:jc w:val="both"/>
        <w:rPr>
          <w:i/>
          <w:iCs/>
          <w:color w:val="000000"/>
          <w:szCs w:val="22"/>
        </w:rPr>
      </w:pPr>
      <w:r w:rsidRPr="00374479">
        <w:rPr>
          <w:i/>
          <w:iCs/>
          <w:color w:val="000000"/>
          <w:szCs w:val="22"/>
        </w:rPr>
        <w:lastRenderedPageBreak/>
        <w:t>Definition of phrases and terms</w:t>
      </w:r>
    </w:p>
    <w:p w:rsidR="00374479" w:rsidRPr="00374479" w:rsidRDefault="00374479" w:rsidP="009C4792">
      <w:pPr>
        <w:autoSpaceDE w:val="0"/>
        <w:autoSpaceDN w:val="0"/>
        <w:adjustRightInd w:val="0"/>
        <w:spacing w:line="276" w:lineRule="auto"/>
        <w:jc w:val="both"/>
        <w:rPr>
          <w:iCs/>
          <w:color w:val="000000"/>
          <w:szCs w:val="22"/>
        </w:rPr>
      </w:pPr>
      <w:r w:rsidRPr="00374479">
        <w:rPr>
          <w:b/>
          <w:i/>
          <w:iCs/>
          <w:color w:val="000000"/>
          <w:szCs w:val="22"/>
        </w:rPr>
        <w:t>Semester Mark</w:t>
      </w:r>
      <w:r w:rsidRPr="00374479">
        <w:rPr>
          <w:iCs/>
          <w:color w:val="000000"/>
          <w:szCs w:val="22"/>
        </w:rPr>
        <w:t xml:space="preserve">: Contribution of all the assessment marks obtained </w:t>
      </w:r>
      <w:proofErr w:type="gramStart"/>
      <w:r w:rsidRPr="00374479">
        <w:rPr>
          <w:iCs/>
          <w:color w:val="000000"/>
          <w:szCs w:val="22"/>
        </w:rPr>
        <w:t>by a students</w:t>
      </w:r>
      <w:proofErr w:type="gramEnd"/>
      <w:r w:rsidRPr="00374479">
        <w:rPr>
          <w:iCs/>
          <w:color w:val="000000"/>
          <w:szCs w:val="22"/>
        </w:rPr>
        <w:t xml:space="preserve"> in one </w:t>
      </w:r>
      <w:r w:rsidR="00725B03">
        <w:rPr>
          <w:iCs/>
          <w:color w:val="000000"/>
          <w:szCs w:val="22"/>
        </w:rPr>
        <w:t>semester. This mark comprises</w:t>
      </w:r>
      <w:r w:rsidRPr="00374479">
        <w:rPr>
          <w:iCs/>
          <w:color w:val="000000"/>
          <w:szCs w:val="22"/>
        </w:rPr>
        <w:t xml:space="preserve"> of all assessments undertaken in a semester, that is, the combination of class tests, tutorial tests, homeworks and practical mark.</w:t>
      </w:r>
    </w:p>
    <w:p w:rsidR="00374479" w:rsidRPr="00374479" w:rsidRDefault="00374479" w:rsidP="009C4792">
      <w:pPr>
        <w:autoSpaceDE w:val="0"/>
        <w:autoSpaceDN w:val="0"/>
        <w:adjustRightInd w:val="0"/>
        <w:spacing w:line="276" w:lineRule="auto"/>
        <w:jc w:val="both"/>
        <w:rPr>
          <w:iCs/>
          <w:color w:val="000000"/>
          <w:szCs w:val="22"/>
        </w:rPr>
      </w:pPr>
      <w:r w:rsidRPr="00374479">
        <w:rPr>
          <w:b/>
          <w:i/>
          <w:iCs/>
          <w:color w:val="000000"/>
          <w:szCs w:val="22"/>
        </w:rPr>
        <w:t>Average Module Mark</w:t>
      </w:r>
      <w:r w:rsidRPr="00374479">
        <w:rPr>
          <w:iCs/>
          <w:color w:val="000000"/>
          <w:szCs w:val="22"/>
        </w:rPr>
        <w:t>: Final mark obtained after the contribution of the semester mark and the exam mark.</w:t>
      </w:r>
    </w:p>
    <w:p w:rsidR="00374479" w:rsidRPr="00374479" w:rsidRDefault="00374479" w:rsidP="009C4792">
      <w:pPr>
        <w:autoSpaceDE w:val="0"/>
        <w:autoSpaceDN w:val="0"/>
        <w:adjustRightInd w:val="0"/>
        <w:spacing w:line="276" w:lineRule="auto"/>
        <w:jc w:val="both"/>
        <w:rPr>
          <w:iCs/>
          <w:color w:val="000000"/>
          <w:szCs w:val="22"/>
        </w:rPr>
      </w:pPr>
      <w:r w:rsidRPr="00374479">
        <w:rPr>
          <w:b/>
          <w:i/>
          <w:iCs/>
          <w:color w:val="000000"/>
          <w:szCs w:val="22"/>
        </w:rPr>
        <w:t>Module Pass Rate</w:t>
      </w:r>
      <w:r w:rsidRPr="00374479">
        <w:rPr>
          <w:iCs/>
          <w:color w:val="000000"/>
          <w:szCs w:val="22"/>
        </w:rPr>
        <w:t>: This is the percentage obtained by considering the number of students who participated in a given examination. The total number o</w:t>
      </w:r>
      <w:r w:rsidR="000445FB">
        <w:rPr>
          <w:iCs/>
          <w:color w:val="000000"/>
          <w:szCs w:val="22"/>
        </w:rPr>
        <w:t>f students passing the exam divided by the</w:t>
      </w:r>
      <w:r w:rsidRPr="00374479">
        <w:rPr>
          <w:iCs/>
          <w:color w:val="000000"/>
          <w:szCs w:val="22"/>
        </w:rPr>
        <w:t xml:space="preserve"> number of students allowed to write the </w:t>
      </w:r>
      <w:proofErr w:type="gramStart"/>
      <w:r w:rsidRPr="00374479">
        <w:rPr>
          <w:iCs/>
          <w:color w:val="000000"/>
          <w:szCs w:val="22"/>
        </w:rPr>
        <w:t>exam</w:t>
      </w:r>
      <w:r w:rsidR="000445FB">
        <w:rPr>
          <w:iCs/>
          <w:color w:val="000000"/>
          <w:szCs w:val="22"/>
        </w:rPr>
        <w:t>,</w:t>
      </w:r>
      <w:proofErr w:type="gramEnd"/>
      <w:r w:rsidRPr="00374479">
        <w:rPr>
          <w:iCs/>
          <w:color w:val="000000"/>
          <w:szCs w:val="22"/>
        </w:rPr>
        <w:t xml:space="preserve"> gives a pass rate of that particular group. </w:t>
      </w:r>
    </w:p>
    <w:p w:rsidR="00374479" w:rsidRDefault="00374479" w:rsidP="009C4792">
      <w:pPr>
        <w:autoSpaceDE w:val="0"/>
        <w:autoSpaceDN w:val="0"/>
        <w:adjustRightInd w:val="0"/>
        <w:spacing w:line="276" w:lineRule="auto"/>
        <w:jc w:val="both"/>
        <w:rPr>
          <w:iCs/>
          <w:color w:val="000000"/>
          <w:szCs w:val="22"/>
        </w:rPr>
      </w:pPr>
      <w:r w:rsidRPr="00374479">
        <w:rPr>
          <w:b/>
          <w:i/>
          <w:iCs/>
          <w:color w:val="000000"/>
          <w:szCs w:val="22"/>
        </w:rPr>
        <w:t>Throughput</w:t>
      </w:r>
      <w:r w:rsidRPr="00374479">
        <w:rPr>
          <w:iCs/>
          <w:color w:val="000000"/>
          <w:szCs w:val="22"/>
        </w:rPr>
        <w:t xml:space="preserve">: This is the percentage of the number of students who passed the module </w:t>
      </w:r>
      <w:r w:rsidR="000445FB">
        <w:rPr>
          <w:iCs/>
          <w:color w:val="000000"/>
          <w:szCs w:val="22"/>
        </w:rPr>
        <w:t>divided by</w:t>
      </w:r>
      <w:r w:rsidRPr="00374479">
        <w:rPr>
          <w:iCs/>
          <w:color w:val="000000"/>
          <w:szCs w:val="22"/>
        </w:rPr>
        <w:t xml:space="preserve"> the total</w:t>
      </w:r>
      <w:r w:rsidR="000445FB">
        <w:rPr>
          <w:iCs/>
          <w:color w:val="000000"/>
          <w:szCs w:val="22"/>
        </w:rPr>
        <w:t xml:space="preserve"> number of students who initially registered for the course</w:t>
      </w:r>
      <w:r>
        <w:rPr>
          <w:iCs/>
          <w:color w:val="000000"/>
          <w:szCs w:val="22"/>
        </w:rPr>
        <w:t>.</w:t>
      </w:r>
      <w:r w:rsidRPr="00374479">
        <w:rPr>
          <w:iCs/>
          <w:color w:val="000000"/>
          <w:szCs w:val="22"/>
        </w:rPr>
        <w:t xml:space="preserve"> </w:t>
      </w:r>
    </w:p>
    <w:p w:rsidR="00E27BE1" w:rsidRDefault="00E27BE1" w:rsidP="00E27BE1">
      <w:pPr>
        <w:autoSpaceDE w:val="0"/>
        <w:autoSpaceDN w:val="0"/>
        <w:adjustRightInd w:val="0"/>
        <w:jc w:val="both"/>
        <w:rPr>
          <w:rFonts w:ascii="Times New Roman" w:hAnsi="Times New Roman"/>
          <w:sz w:val="24"/>
        </w:rPr>
      </w:pPr>
    </w:p>
    <w:p w:rsidR="00097FEC" w:rsidRPr="00CF7FB5" w:rsidRDefault="00097FEC" w:rsidP="00097FEC">
      <w:pPr>
        <w:pStyle w:val="Section"/>
        <w:rPr>
          <w:sz w:val="24"/>
          <w:szCs w:val="24"/>
        </w:rPr>
      </w:pPr>
      <w:r w:rsidRPr="00CF7FB5">
        <w:rPr>
          <w:sz w:val="24"/>
          <w:szCs w:val="24"/>
        </w:rPr>
        <w:t>Methodology</w:t>
      </w:r>
    </w:p>
    <w:p w:rsidR="00DB64DE" w:rsidRPr="00DB64DE" w:rsidRDefault="00DB64DE" w:rsidP="00DB64DE">
      <w:pPr>
        <w:pStyle w:val="Bodytext"/>
        <w:rPr>
          <w:lang w:val="en-GB"/>
        </w:rPr>
      </w:pPr>
    </w:p>
    <w:p w:rsidR="00EE7805" w:rsidRPr="001D79BD" w:rsidRDefault="006E4F57" w:rsidP="009C4792">
      <w:pPr>
        <w:autoSpaceDE w:val="0"/>
        <w:autoSpaceDN w:val="0"/>
        <w:adjustRightInd w:val="0"/>
        <w:spacing w:line="276" w:lineRule="auto"/>
        <w:jc w:val="both"/>
        <w:rPr>
          <w:szCs w:val="22"/>
        </w:rPr>
      </w:pPr>
      <w:r w:rsidRPr="001D79BD">
        <w:rPr>
          <w:rFonts w:ascii="Times New Roman" w:hAnsi="Times New Roman"/>
          <w:szCs w:val="22"/>
        </w:rPr>
        <w:t>The four year degree program at UJ sees the enrolment of various groupings of students; ran</w:t>
      </w:r>
      <w:r w:rsidR="00725B03">
        <w:rPr>
          <w:rFonts w:ascii="Times New Roman" w:hAnsi="Times New Roman"/>
          <w:szCs w:val="22"/>
        </w:rPr>
        <w:t>ging from pure BSc. students, BE</w:t>
      </w:r>
      <w:r w:rsidRPr="001D79BD">
        <w:rPr>
          <w:rFonts w:ascii="Times New Roman" w:hAnsi="Times New Roman"/>
          <w:szCs w:val="22"/>
        </w:rPr>
        <w:t xml:space="preserve">ng. </w:t>
      </w:r>
      <w:proofErr w:type="gramStart"/>
      <w:r w:rsidRPr="001D79BD">
        <w:rPr>
          <w:rFonts w:ascii="Times New Roman" w:hAnsi="Times New Roman"/>
          <w:szCs w:val="22"/>
        </w:rPr>
        <w:t>students</w:t>
      </w:r>
      <w:proofErr w:type="gramEnd"/>
      <w:r w:rsidRPr="001D79BD">
        <w:rPr>
          <w:rFonts w:ascii="Times New Roman" w:hAnsi="Times New Roman"/>
          <w:szCs w:val="22"/>
        </w:rPr>
        <w:t xml:space="preserve"> and BOptom. </w:t>
      </w:r>
      <w:proofErr w:type="gramStart"/>
      <w:r w:rsidRPr="001D79BD">
        <w:rPr>
          <w:rFonts w:ascii="Times New Roman" w:hAnsi="Times New Roman"/>
          <w:szCs w:val="22"/>
        </w:rPr>
        <w:t>students</w:t>
      </w:r>
      <w:proofErr w:type="gramEnd"/>
      <w:r w:rsidRPr="001D79BD">
        <w:rPr>
          <w:rFonts w:ascii="Times New Roman" w:hAnsi="Times New Roman"/>
          <w:szCs w:val="22"/>
        </w:rPr>
        <w:t>. The physics FPP for 2012 covered basic mathematics concepts in physics contexts, that is, straight line graphs whereby these were taught in the context of graphs of motion, position versus time graphs, velocity versus time graphs and other associated concepts. Basic trigonometry was used in the context of understanding vectors and forces. Students were taught the technique of resolving vectors from the understanding of trigonometric ratios. Conti</w:t>
      </w:r>
      <w:r w:rsidR="00807FCD">
        <w:rPr>
          <w:rFonts w:ascii="Times New Roman" w:hAnsi="Times New Roman"/>
          <w:szCs w:val="22"/>
        </w:rPr>
        <w:t>nuous assessment was monitored</w:t>
      </w:r>
      <w:r w:rsidRPr="001D79BD">
        <w:rPr>
          <w:rFonts w:ascii="Times New Roman" w:hAnsi="Times New Roman"/>
          <w:szCs w:val="22"/>
        </w:rPr>
        <w:t xml:space="preserve"> to establish their understanding and the build up towards the exam. Other topics covered in this module were motion in two dimension (building up from the</w:t>
      </w:r>
      <w:r w:rsidR="00807FCD">
        <w:rPr>
          <w:rFonts w:ascii="Times New Roman" w:hAnsi="Times New Roman"/>
          <w:szCs w:val="22"/>
        </w:rPr>
        <w:t xml:space="preserve"> understanding of one dimension</w:t>
      </w:r>
      <w:r w:rsidRPr="001D79BD">
        <w:rPr>
          <w:rFonts w:ascii="Times New Roman" w:hAnsi="Times New Roman"/>
          <w:szCs w:val="22"/>
        </w:rPr>
        <w:t>, linear graphs and related concepts); Newton's laws; including the proper drawing of free-body diagrams; work and energy and impulse and momentum, waves and sound. After the imple</w:t>
      </w:r>
      <w:r w:rsidR="001D79BD" w:rsidRPr="001D79BD">
        <w:rPr>
          <w:rFonts w:ascii="Times New Roman" w:hAnsi="Times New Roman"/>
          <w:szCs w:val="22"/>
        </w:rPr>
        <w:t>me</w:t>
      </w:r>
      <w:r w:rsidRPr="001D79BD">
        <w:rPr>
          <w:rFonts w:ascii="Times New Roman" w:hAnsi="Times New Roman"/>
          <w:szCs w:val="22"/>
        </w:rPr>
        <w:t xml:space="preserve">ntation of these </w:t>
      </w:r>
      <w:r w:rsidR="001D79BD" w:rsidRPr="001D79BD">
        <w:rPr>
          <w:rFonts w:ascii="Times New Roman" w:hAnsi="Times New Roman"/>
          <w:szCs w:val="22"/>
        </w:rPr>
        <w:t>interventions</w:t>
      </w:r>
      <w:r w:rsidRPr="001D79BD">
        <w:rPr>
          <w:rFonts w:ascii="Times New Roman" w:hAnsi="Times New Roman"/>
          <w:szCs w:val="22"/>
        </w:rPr>
        <w:t xml:space="preserve"> in the four year degree program, a closer look at the performance of the students with the aim of assessing the program was undertaken. </w:t>
      </w:r>
      <w:proofErr w:type="gramStart"/>
      <w:r w:rsidRPr="001D79BD">
        <w:rPr>
          <w:rFonts w:ascii="Times New Roman" w:hAnsi="Times New Roman"/>
          <w:szCs w:val="22"/>
        </w:rPr>
        <w:t>These observations of the students' performance in their first semester from 2010 to 2012 was</w:t>
      </w:r>
      <w:proofErr w:type="gramEnd"/>
      <w:r w:rsidRPr="001D79BD">
        <w:rPr>
          <w:rFonts w:ascii="Times New Roman" w:hAnsi="Times New Roman"/>
          <w:szCs w:val="22"/>
        </w:rPr>
        <w:t xml:space="preserve"> looked at and t</w:t>
      </w:r>
      <w:r w:rsidR="00473B09">
        <w:rPr>
          <w:rFonts w:ascii="Times New Roman" w:hAnsi="Times New Roman"/>
          <w:szCs w:val="22"/>
        </w:rPr>
        <w:t>he findings are listed in tables 1, 2 and 3.</w:t>
      </w:r>
    </w:p>
    <w:p w:rsidR="00EE7805" w:rsidRPr="001D79BD" w:rsidRDefault="00EE7805" w:rsidP="00E7073A">
      <w:pPr>
        <w:autoSpaceDE w:val="0"/>
        <w:autoSpaceDN w:val="0"/>
        <w:adjustRightInd w:val="0"/>
        <w:jc w:val="both"/>
        <w:rPr>
          <w:szCs w:val="22"/>
        </w:rPr>
      </w:pPr>
    </w:p>
    <w:p w:rsidR="00466A88" w:rsidRPr="00CF7FB5" w:rsidRDefault="00466A88" w:rsidP="00466A88">
      <w:pPr>
        <w:pStyle w:val="Section"/>
        <w:rPr>
          <w:sz w:val="24"/>
          <w:szCs w:val="24"/>
        </w:rPr>
      </w:pPr>
      <w:r w:rsidRPr="00CF7FB5">
        <w:rPr>
          <w:sz w:val="24"/>
          <w:szCs w:val="24"/>
        </w:rPr>
        <w:t>Results</w:t>
      </w:r>
      <w:r w:rsidR="00E1098D" w:rsidRPr="00CF7FB5">
        <w:rPr>
          <w:sz w:val="24"/>
          <w:szCs w:val="24"/>
        </w:rPr>
        <w:t xml:space="preserve"> and discussion</w:t>
      </w:r>
    </w:p>
    <w:p w:rsidR="00E7073A" w:rsidRPr="009E1F87" w:rsidRDefault="00E7073A" w:rsidP="00540A1F">
      <w:pPr>
        <w:pStyle w:val="BodytextIndented"/>
        <w:rPr>
          <w:rFonts w:cs="Times"/>
          <w:b/>
          <w:bCs/>
          <w:sz w:val="24"/>
          <w:szCs w:val="24"/>
        </w:rPr>
      </w:pPr>
    </w:p>
    <w:p w:rsidR="00CF7FB5" w:rsidRPr="001D79BD" w:rsidRDefault="0028467B" w:rsidP="009C4792">
      <w:pPr>
        <w:pStyle w:val="BodytextIndented"/>
        <w:spacing w:line="276" w:lineRule="auto"/>
        <w:rPr>
          <w:rFonts w:ascii="Times New Roman" w:hAnsi="Times New Roman"/>
          <w:iCs w:val="0"/>
          <w:color w:val="auto"/>
          <w:lang w:val="en-GB"/>
        </w:rPr>
      </w:pPr>
      <w:r w:rsidRPr="001D79BD">
        <w:rPr>
          <w:rFonts w:ascii="Times New Roman" w:hAnsi="Times New Roman"/>
          <w:iCs w:val="0"/>
          <w:color w:val="auto"/>
          <w:lang w:val="en-GB"/>
        </w:rPr>
        <w:t>Table 1 contains the information regarding the overall picture of the students, from the students' intake into the module, the students allowed to write the exam, the module pass rate and throughput numbers of the modul</w:t>
      </w:r>
      <w:r w:rsidR="00473B09">
        <w:rPr>
          <w:rFonts w:ascii="Times New Roman" w:hAnsi="Times New Roman"/>
          <w:iCs w:val="0"/>
          <w:color w:val="auto"/>
          <w:lang w:val="en-GB"/>
        </w:rPr>
        <w:t xml:space="preserve">e. </w:t>
      </w:r>
      <w:proofErr w:type="gramStart"/>
      <w:r w:rsidR="00473B09">
        <w:rPr>
          <w:rFonts w:ascii="Times New Roman" w:hAnsi="Times New Roman"/>
          <w:iCs w:val="0"/>
          <w:color w:val="auto"/>
          <w:lang w:val="en-GB"/>
        </w:rPr>
        <w:t xml:space="preserve">The information in </w:t>
      </w:r>
      <w:r w:rsidRPr="001D79BD">
        <w:rPr>
          <w:rFonts w:ascii="Times New Roman" w:hAnsi="Times New Roman"/>
          <w:iCs w:val="0"/>
          <w:color w:val="auto"/>
          <w:lang w:val="en-GB"/>
        </w:rPr>
        <w:t>th</w:t>
      </w:r>
      <w:r w:rsidR="00473B09">
        <w:rPr>
          <w:rFonts w:ascii="Times New Roman" w:hAnsi="Times New Roman"/>
          <w:iCs w:val="0"/>
          <w:color w:val="auto"/>
          <w:lang w:val="en-GB"/>
        </w:rPr>
        <w:t>is</w:t>
      </w:r>
      <w:r w:rsidRPr="001D79BD">
        <w:rPr>
          <w:rFonts w:ascii="Times New Roman" w:hAnsi="Times New Roman"/>
          <w:iCs w:val="0"/>
          <w:color w:val="auto"/>
          <w:lang w:val="en-GB"/>
        </w:rPr>
        <w:t xml:space="preserve"> table </w:t>
      </w:r>
      <w:r w:rsidR="00473B09">
        <w:rPr>
          <w:rFonts w:ascii="Times New Roman" w:hAnsi="Times New Roman"/>
          <w:iCs w:val="0"/>
          <w:color w:val="auto"/>
          <w:lang w:val="en-GB"/>
        </w:rPr>
        <w:t>show</w:t>
      </w:r>
      <w:r w:rsidRPr="001D79BD">
        <w:rPr>
          <w:rFonts w:ascii="Times New Roman" w:hAnsi="Times New Roman"/>
          <w:iCs w:val="0"/>
          <w:color w:val="auto"/>
          <w:lang w:val="en-GB"/>
        </w:rPr>
        <w:t xml:space="preserve"> that 90%, 89% and 95% of the students qualified to write the exam in the year 2010, 2011 and 2012, respectively.</w:t>
      </w:r>
      <w:proofErr w:type="gramEnd"/>
      <w:r w:rsidRPr="001D79BD">
        <w:rPr>
          <w:rFonts w:ascii="Times New Roman" w:hAnsi="Times New Roman"/>
          <w:iCs w:val="0"/>
          <w:color w:val="auto"/>
          <w:lang w:val="en-GB"/>
        </w:rPr>
        <w:t xml:space="preserve"> It is important to mention that a student at </w:t>
      </w:r>
      <w:proofErr w:type="gramStart"/>
      <w:r w:rsidRPr="001D79BD">
        <w:rPr>
          <w:rFonts w:ascii="Times New Roman" w:hAnsi="Times New Roman"/>
          <w:iCs w:val="0"/>
          <w:color w:val="auto"/>
          <w:lang w:val="en-GB"/>
        </w:rPr>
        <w:t>UJ,</w:t>
      </w:r>
      <w:proofErr w:type="gramEnd"/>
      <w:r w:rsidRPr="001D79BD">
        <w:rPr>
          <w:rFonts w:ascii="Times New Roman" w:hAnsi="Times New Roman"/>
          <w:iCs w:val="0"/>
          <w:color w:val="auto"/>
          <w:lang w:val="en-GB"/>
        </w:rPr>
        <w:t xml:space="preserve"> requires only 40% of the theory mark and 50% of the practical mark to be allowed into the exam. Table 2 lists the outcomes of the students' marks outputs as analysed from the students</w:t>
      </w:r>
      <w:r w:rsidR="009C4792" w:rsidRPr="001D79BD">
        <w:rPr>
          <w:rFonts w:ascii="Times New Roman" w:hAnsi="Times New Roman"/>
          <w:iCs w:val="0"/>
          <w:color w:val="auto"/>
          <w:lang w:val="en-GB"/>
        </w:rPr>
        <w:t>’</w:t>
      </w:r>
      <w:r w:rsidRPr="001D79BD">
        <w:rPr>
          <w:rFonts w:ascii="Times New Roman" w:hAnsi="Times New Roman"/>
          <w:iCs w:val="0"/>
          <w:color w:val="auto"/>
          <w:lang w:val="en-GB"/>
        </w:rPr>
        <w:t xml:space="preserve"> progress from the time of enrolment to the final exam written. Despite the fact that almost equal percentage of students qualified to write an exam in 2010 and 2011 (≈ 90%); we observe the difference in the exam pass rate (59% and 64% obtained in 2010 and 2011, respectively). </w:t>
      </w:r>
      <w:commentRangeStart w:id="0"/>
      <w:r w:rsidRPr="001D79BD">
        <w:rPr>
          <w:rFonts w:ascii="Times New Roman" w:hAnsi="Times New Roman"/>
          <w:iCs w:val="0"/>
          <w:color w:val="auto"/>
          <w:lang w:val="en-GB"/>
        </w:rPr>
        <w:t>This differen</w:t>
      </w:r>
      <w:r w:rsidR="005A4393">
        <w:rPr>
          <w:rFonts w:ascii="Times New Roman" w:hAnsi="Times New Roman"/>
          <w:iCs w:val="0"/>
          <w:color w:val="auto"/>
          <w:lang w:val="en-GB"/>
        </w:rPr>
        <w:t>ce can be attributed to both</w:t>
      </w:r>
      <w:r w:rsidRPr="001D79BD">
        <w:rPr>
          <w:rFonts w:ascii="Times New Roman" w:hAnsi="Times New Roman"/>
          <w:iCs w:val="0"/>
          <w:color w:val="auto"/>
          <w:lang w:val="en-GB"/>
        </w:rPr>
        <w:t xml:space="preserve"> the content and duration of FPP (one term in 2010 and a semester in 2011).</w:t>
      </w:r>
      <w:commentRangeEnd w:id="0"/>
      <w:r w:rsidR="00E30454">
        <w:rPr>
          <w:rStyle w:val="CommentReference"/>
          <w:rFonts w:ascii="Calibri" w:eastAsia="Calibri" w:hAnsi="Calibri"/>
          <w:iCs w:val="0"/>
          <w:color w:val="auto"/>
        </w:rPr>
        <w:commentReference w:id="0"/>
      </w:r>
      <w:r w:rsidRPr="001D79BD">
        <w:rPr>
          <w:rFonts w:ascii="Times New Roman" w:hAnsi="Times New Roman"/>
          <w:iCs w:val="0"/>
          <w:color w:val="auto"/>
          <w:lang w:val="en-GB"/>
        </w:rPr>
        <w:t xml:space="preserve"> This therefore suggests that, time for simulating the content learnt is of utmost</w:t>
      </w:r>
      <w:r w:rsidRPr="0028467B">
        <w:rPr>
          <w:rFonts w:ascii="Times New Roman" w:hAnsi="Times New Roman"/>
          <w:iCs w:val="0"/>
          <w:color w:val="auto"/>
          <w:sz w:val="24"/>
          <w:szCs w:val="20"/>
          <w:lang w:val="en-GB"/>
        </w:rPr>
        <w:t xml:space="preserve"> </w:t>
      </w:r>
      <w:r w:rsidRPr="001D79BD">
        <w:rPr>
          <w:rFonts w:ascii="Times New Roman" w:hAnsi="Times New Roman"/>
          <w:iCs w:val="0"/>
          <w:color w:val="auto"/>
          <w:lang w:val="en-GB"/>
        </w:rPr>
        <w:t xml:space="preserve">importance for the proper learning of the content. Although the exam pass rate of students in 2012 is even much </w:t>
      </w:r>
      <w:r w:rsidRPr="001D79BD">
        <w:rPr>
          <w:rFonts w:ascii="Times New Roman" w:hAnsi="Times New Roman"/>
          <w:iCs w:val="0"/>
          <w:color w:val="auto"/>
          <w:lang w:val="en-GB"/>
        </w:rPr>
        <w:lastRenderedPageBreak/>
        <w:t xml:space="preserve">lower as compared to those obtained from two previous years, we still </w:t>
      </w:r>
      <w:r w:rsidR="00F76043" w:rsidRPr="001D79BD">
        <w:rPr>
          <w:rFonts w:ascii="Times New Roman" w:hAnsi="Times New Roman"/>
          <w:iCs w:val="0"/>
          <w:color w:val="auto"/>
          <w:lang w:val="en-GB"/>
        </w:rPr>
        <w:t>o</w:t>
      </w:r>
      <w:r w:rsidR="00BE0617">
        <w:rPr>
          <w:rFonts w:ascii="Times New Roman" w:hAnsi="Times New Roman"/>
          <w:iCs w:val="0"/>
          <w:color w:val="auto"/>
          <w:lang w:val="en-GB"/>
        </w:rPr>
        <w:t>bserve exactly the same through</w:t>
      </w:r>
      <w:r w:rsidR="00F76043" w:rsidRPr="001D79BD">
        <w:rPr>
          <w:rFonts w:ascii="Times New Roman" w:hAnsi="Times New Roman"/>
          <w:iCs w:val="0"/>
          <w:color w:val="auto"/>
          <w:lang w:val="en-GB"/>
        </w:rPr>
        <w:t>put (67%) as obtained in 2011.</w:t>
      </w:r>
      <w:r w:rsidR="00721035">
        <w:rPr>
          <w:rFonts w:ascii="Times New Roman" w:hAnsi="Times New Roman"/>
          <w:iCs w:val="0"/>
          <w:color w:val="auto"/>
          <w:lang w:val="en-GB"/>
        </w:rPr>
        <w:t xml:space="preserve"> This is an indication that, incorporating mathematics suitable for the understanding of Physics concepts was more relevant than to teach pure mathematical concepts away from Physics.</w:t>
      </w:r>
    </w:p>
    <w:p w:rsidR="00CF7FB5" w:rsidRDefault="00CF7FB5" w:rsidP="0028467B">
      <w:pPr>
        <w:pStyle w:val="BodytextIndented"/>
        <w:rPr>
          <w:rFonts w:ascii="Times New Roman" w:hAnsi="Times New Roman"/>
          <w:iCs w:val="0"/>
          <w:color w:val="auto"/>
          <w:sz w:val="24"/>
          <w:szCs w:val="20"/>
          <w:lang w:val="en-GB"/>
        </w:rPr>
      </w:pPr>
    </w:p>
    <w:p w:rsidR="00CF7FB5" w:rsidRDefault="00CF7FB5" w:rsidP="001D79BD">
      <w:pPr>
        <w:autoSpaceDE w:val="0"/>
        <w:autoSpaceDN w:val="0"/>
        <w:adjustRightInd w:val="0"/>
        <w:spacing w:line="276" w:lineRule="auto"/>
        <w:jc w:val="both"/>
        <w:rPr>
          <w:rFonts w:ascii="Times New Roman" w:hAnsi="Times New Roman"/>
          <w:sz w:val="24"/>
        </w:rPr>
      </w:pPr>
      <w:r>
        <w:rPr>
          <w:rFonts w:ascii="Times New Roman" w:hAnsi="Times New Roman"/>
          <w:sz w:val="24"/>
        </w:rPr>
        <w:t xml:space="preserve">Table 1: </w:t>
      </w:r>
      <w:r w:rsidR="00721035">
        <w:rPr>
          <w:rFonts w:ascii="Times New Roman" w:hAnsi="Times New Roman"/>
          <w:sz w:val="24"/>
        </w:rPr>
        <w:t>Mark</w:t>
      </w:r>
      <w:r w:rsidRPr="0028467B">
        <w:rPr>
          <w:rFonts w:ascii="Times New Roman" w:hAnsi="Times New Roman"/>
          <w:sz w:val="24"/>
        </w:rPr>
        <w:t xml:space="preserve"> groupings of students' performances i</w:t>
      </w:r>
      <w:r>
        <w:rPr>
          <w:rFonts w:ascii="Times New Roman" w:hAnsi="Times New Roman"/>
          <w:sz w:val="24"/>
        </w:rPr>
        <w:t>n the years 2010, 2011 and 2012.</w:t>
      </w:r>
    </w:p>
    <w:p w:rsidR="00721035" w:rsidRDefault="00721035" w:rsidP="001D79BD">
      <w:pPr>
        <w:autoSpaceDE w:val="0"/>
        <w:autoSpaceDN w:val="0"/>
        <w:adjustRightInd w:val="0"/>
        <w:spacing w:line="276" w:lineRule="auto"/>
        <w:jc w:val="both"/>
        <w:rPr>
          <w:rFonts w:ascii="Times New Roman" w:hAnsi="Times New Roman"/>
          <w:sz w:val="24"/>
        </w:rPr>
      </w:pPr>
    </w:p>
    <w:tbl>
      <w:tblPr>
        <w:tblW w:w="7523" w:type="dxa"/>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1249"/>
        <w:gridCol w:w="1279"/>
        <w:gridCol w:w="1275"/>
      </w:tblGrid>
      <w:tr w:rsidR="00CF7FB5" w:rsidTr="00A13E1F">
        <w:trPr>
          <w:jc w:val="center"/>
        </w:trPr>
        <w:tc>
          <w:tcPr>
            <w:tcW w:w="3720" w:type="dxa"/>
          </w:tcPr>
          <w:p w:rsidR="00CF7FB5" w:rsidRPr="00473B09" w:rsidRDefault="00CF7FB5" w:rsidP="00EC2D59">
            <w:pPr>
              <w:jc w:val="center"/>
              <w:rPr>
                <w:b/>
                <w:iCs/>
                <w:color w:val="000000"/>
                <w:szCs w:val="22"/>
              </w:rPr>
            </w:pPr>
          </w:p>
        </w:tc>
        <w:tc>
          <w:tcPr>
            <w:tcW w:w="1249" w:type="dxa"/>
          </w:tcPr>
          <w:p w:rsidR="00CF7FB5" w:rsidRPr="00473B09" w:rsidRDefault="00CF7FB5" w:rsidP="00EC2D59">
            <w:pPr>
              <w:rPr>
                <w:b/>
                <w:iCs/>
                <w:color w:val="000000"/>
                <w:szCs w:val="22"/>
              </w:rPr>
            </w:pPr>
            <w:r w:rsidRPr="00473B09">
              <w:rPr>
                <w:b/>
                <w:iCs/>
                <w:color w:val="000000"/>
                <w:szCs w:val="22"/>
              </w:rPr>
              <w:t>2010</w:t>
            </w:r>
          </w:p>
        </w:tc>
        <w:tc>
          <w:tcPr>
            <w:tcW w:w="1279" w:type="dxa"/>
          </w:tcPr>
          <w:p w:rsidR="00CF7FB5" w:rsidRPr="00473B09" w:rsidRDefault="00CF7FB5" w:rsidP="00EC2D59">
            <w:pPr>
              <w:rPr>
                <w:b/>
                <w:iCs/>
                <w:color w:val="000000"/>
                <w:szCs w:val="22"/>
              </w:rPr>
            </w:pPr>
            <w:r w:rsidRPr="00473B09">
              <w:rPr>
                <w:b/>
                <w:iCs/>
                <w:color w:val="000000"/>
                <w:szCs w:val="22"/>
              </w:rPr>
              <w:t>2011</w:t>
            </w:r>
          </w:p>
        </w:tc>
        <w:tc>
          <w:tcPr>
            <w:tcW w:w="1275" w:type="dxa"/>
          </w:tcPr>
          <w:p w:rsidR="00CF7FB5" w:rsidRPr="00473B09" w:rsidRDefault="00CF7FB5" w:rsidP="00EC2D59">
            <w:pPr>
              <w:rPr>
                <w:b/>
                <w:iCs/>
                <w:color w:val="000000"/>
                <w:szCs w:val="22"/>
              </w:rPr>
            </w:pPr>
            <w:r w:rsidRPr="00473B09">
              <w:rPr>
                <w:b/>
                <w:iCs/>
                <w:color w:val="000000"/>
                <w:szCs w:val="22"/>
              </w:rPr>
              <w:t>2012</w:t>
            </w:r>
          </w:p>
        </w:tc>
      </w:tr>
      <w:tr w:rsidR="00CF7FB5" w:rsidRPr="009C4792" w:rsidTr="00A13E1F">
        <w:trPr>
          <w:jc w:val="center"/>
        </w:trPr>
        <w:tc>
          <w:tcPr>
            <w:tcW w:w="3720" w:type="dxa"/>
          </w:tcPr>
          <w:p w:rsidR="00CF7FB5" w:rsidRPr="009C4792" w:rsidRDefault="00BE0617" w:rsidP="009C4792">
            <w:pPr>
              <w:spacing w:line="276" w:lineRule="auto"/>
              <w:jc w:val="both"/>
              <w:rPr>
                <w:iCs/>
                <w:color w:val="000000"/>
                <w:szCs w:val="22"/>
              </w:rPr>
            </w:pPr>
            <w:r>
              <w:rPr>
                <w:iCs/>
                <w:color w:val="000000"/>
                <w:szCs w:val="22"/>
              </w:rPr>
              <w:t>Students in</w:t>
            </w:r>
            <w:r w:rsidR="00CF7FB5" w:rsidRPr="009C4792">
              <w:rPr>
                <w:iCs/>
                <w:color w:val="000000"/>
                <w:szCs w:val="22"/>
              </w:rPr>
              <w:t xml:space="preserve"> module</w:t>
            </w:r>
          </w:p>
        </w:tc>
        <w:tc>
          <w:tcPr>
            <w:tcW w:w="1249" w:type="dxa"/>
          </w:tcPr>
          <w:p w:rsidR="00CF7FB5" w:rsidRPr="009C4792" w:rsidRDefault="00CF7FB5" w:rsidP="009C4792">
            <w:pPr>
              <w:spacing w:line="276" w:lineRule="auto"/>
              <w:rPr>
                <w:iCs/>
                <w:color w:val="000000"/>
                <w:szCs w:val="22"/>
              </w:rPr>
            </w:pPr>
            <w:r w:rsidRPr="009C4792">
              <w:rPr>
                <w:iCs/>
                <w:color w:val="000000"/>
                <w:szCs w:val="22"/>
              </w:rPr>
              <w:t>174</w:t>
            </w:r>
          </w:p>
        </w:tc>
        <w:tc>
          <w:tcPr>
            <w:tcW w:w="1279" w:type="dxa"/>
          </w:tcPr>
          <w:p w:rsidR="00CF7FB5" w:rsidRPr="009C4792" w:rsidRDefault="00CF7FB5" w:rsidP="009C4792">
            <w:pPr>
              <w:spacing w:line="276" w:lineRule="auto"/>
              <w:rPr>
                <w:iCs/>
                <w:color w:val="000000"/>
                <w:szCs w:val="22"/>
              </w:rPr>
            </w:pPr>
            <w:r w:rsidRPr="009C4792">
              <w:rPr>
                <w:iCs/>
                <w:color w:val="000000"/>
                <w:szCs w:val="22"/>
              </w:rPr>
              <w:t>481</w:t>
            </w:r>
          </w:p>
        </w:tc>
        <w:tc>
          <w:tcPr>
            <w:tcW w:w="1275" w:type="dxa"/>
          </w:tcPr>
          <w:p w:rsidR="00CF7FB5" w:rsidRPr="009C4792" w:rsidRDefault="00CF7FB5" w:rsidP="009C4792">
            <w:pPr>
              <w:spacing w:line="276" w:lineRule="auto"/>
              <w:rPr>
                <w:iCs/>
                <w:color w:val="000000"/>
                <w:szCs w:val="22"/>
              </w:rPr>
            </w:pPr>
            <w:r w:rsidRPr="009C4792">
              <w:rPr>
                <w:iCs/>
                <w:color w:val="000000"/>
                <w:szCs w:val="22"/>
              </w:rPr>
              <w:t>306</w:t>
            </w:r>
          </w:p>
        </w:tc>
      </w:tr>
      <w:tr w:rsidR="00CF7FB5" w:rsidRPr="009C4792" w:rsidTr="00A13E1F">
        <w:trPr>
          <w:jc w:val="center"/>
        </w:trPr>
        <w:tc>
          <w:tcPr>
            <w:tcW w:w="3720" w:type="dxa"/>
          </w:tcPr>
          <w:p w:rsidR="00CF7FB5" w:rsidRPr="009C4792" w:rsidRDefault="00CF7FB5" w:rsidP="009C4792">
            <w:pPr>
              <w:spacing w:line="276" w:lineRule="auto"/>
              <w:jc w:val="both"/>
              <w:rPr>
                <w:iCs/>
                <w:color w:val="000000"/>
                <w:szCs w:val="22"/>
              </w:rPr>
            </w:pPr>
            <w:r w:rsidRPr="009C4792">
              <w:rPr>
                <w:iCs/>
                <w:color w:val="000000"/>
                <w:szCs w:val="22"/>
              </w:rPr>
              <w:t>Students admitted to the exam</w:t>
            </w:r>
          </w:p>
        </w:tc>
        <w:tc>
          <w:tcPr>
            <w:tcW w:w="1249" w:type="dxa"/>
          </w:tcPr>
          <w:p w:rsidR="00CF7FB5" w:rsidRPr="009C4792" w:rsidRDefault="00CF7FB5" w:rsidP="009C4792">
            <w:pPr>
              <w:spacing w:line="276" w:lineRule="auto"/>
              <w:rPr>
                <w:iCs/>
                <w:color w:val="000000"/>
                <w:szCs w:val="22"/>
              </w:rPr>
            </w:pPr>
            <w:r w:rsidRPr="009C4792">
              <w:rPr>
                <w:iCs/>
                <w:color w:val="000000"/>
                <w:szCs w:val="22"/>
              </w:rPr>
              <w:t>156</w:t>
            </w:r>
            <w:r w:rsidR="00473B09">
              <w:rPr>
                <w:iCs/>
                <w:color w:val="000000"/>
                <w:szCs w:val="22"/>
              </w:rPr>
              <w:t xml:space="preserve"> (90%)</w:t>
            </w:r>
          </w:p>
        </w:tc>
        <w:tc>
          <w:tcPr>
            <w:tcW w:w="1279" w:type="dxa"/>
          </w:tcPr>
          <w:p w:rsidR="00CF7FB5" w:rsidRPr="009C4792" w:rsidRDefault="00CF7FB5" w:rsidP="009C4792">
            <w:pPr>
              <w:spacing w:line="276" w:lineRule="auto"/>
              <w:rPr>
                <w:iCs/>
                <w:color w:val="000000"/>
                <w:szCs w:val="22"/>
              </w:rPr>
            </w:pPr>
            <w:r w:rsidRPr="009C4792">
              <w:rPr>
                <w:iCs/>
                <w:color w:val="000000"/>
                <w:szCs w:val="22"/>
              </w:rPr>
              <w:t>428</w:t>
            </w:r>
            <w:r w:rsidR="00A13E1F">
              <w:rPr>
                <w:iCs/>
                <w:color w:val="000000"/>
                <w:szCs w:val="22"/>
              </w:rPr>
              <w:t xml:space="preserve"> (89%)</w:t>
            </w:r>
          </w:p>
        </w:tc>
        <w:tc>
          <w:tcPr>
            <w:tcW w:w="1275" w:type="dxa"/>
          </w:tcPr>
          <w:p w:rsidR="00CF7FB5" w:rsidRPr="009C4792" w:rsidRDefault="00CF7FB5" w:rsidP="009C4792">
            <w:pPr>
              <w:spacing w:line="276" w:lineRule="auto"/>
              <w:rPr>
                <w:iCs/>
                <w:color w:val="000000"/>
                <w:szCs w:val="22"/>
              </w:rPr>
            </w:pPr>
            <w:r w:rsidRPr="009C4792">
              <w:rPr>
                <w:iCs/>
                <w:color w:val="000000"/>
                <w:szCs w:val="22"/>
              </w:rPr>
              <w:t>290</w:t>
            </w:r>
            <w:r w:rsidR="00A13E1F">
              <w:rPr>
                <w:iCs/>
                <w:color w:val="000000"/>
                <w:szCs w:val="22"/>
              </w:rPr>
              <w:t xml:space="preserve"> (95%)</w:t>
            </w:r>
          </w:p>
        </w:tc>
      </w:tr>
      <w:tr w:rsidR="00CF7FB5" w:rsidRPr="009C4792" w:rsidTr="00A13E1F">
        <w:trPr>
          <w:jc w:val="center"/>
        </w:trPr>
        <w:tc>
          <w:tcPr>
            <w:tcW w:w="3720" w:type="dxa"/>
          </w:tcPr>
          <w:p w:rsidR="00CF7FB5" w:rsidRPr="009C4792" w:rsidRDefault="00CF7FB5" w:rsidP="009C4792">
            <w:pPr>
              <w:spacing w:line="276" w:lineRule="auto"/>
              <w:jc w:val="both"/>
              <w:rPr>
                <w:iCs/>
                <w:color w:val="000000"/>
                <w:szCs w:val="22"/>
              </w:rPr>
            </w:pPr>
            <w:r w:rsidRPr="009C4792">
              <w:rPr>
                <w:iCs/>
                <w:color w:val="000000"/>
                <w:szCs w:val="22"/>
              </w:rPr>
              <w:t>Students refused admission to the exam</w:t>
            </w:r>
          </w:p>
        </w:tc>
        <w:tc>
          <w:tcPr>
            <w:tcW w:w="1249" w:type="dxa"/>
          </w:tcPr>
          <w:p w:rsidR="00CF7FB5" w:rsidRPr="009C4792" w:rsidRDefault="00CF7FB5" w:rsidP="009C4792">
            <w:pPr>
              <w:spacing w:line="276" w:lineRule="auto"/>
              <w:rPr>
                <w:iCs/>
                <w:color w:val="000000"/>
                <w:szCs w:val="22"/>
              </w:rPr>
            </w:pPr>
            <w:r w:rsidRPr="009C4792">
              <w:rPr>
                <w:iCs/>
                <w:color w:val="000000"/>
                <w:szCs w:val="22"/>
              </w:rPr>
              <w:t>18</w:t>
            </w:r>
            <w:r w:rsidR="00473B09">
              <w:rPr>
                <w:iCs/>
                <w:color w:val="000000"/>
                <w:szCs w:val="22"/>
              </w:rPr>
              <w:t xml:space="preserve"> (10%)</w:t>
            </w:r>
          </w:p>
        </w:tc>
        <w:tc>
          <w:tcPr>
            <w:tcW w:w="1279" w:type="dxa"/>
          </w:tcPr>
          <w:p w:rsidR="00CF7FB5" w:rsidRPr="009C4792" w:rsidRDefault="00CF7FB5" w:rsidP="009C4792">
            <w:pPr>
              <w:spacing w:line="276" w:lineRule="auto"/>
              <w:rPr>
                <w:iCs/>
                <w:color w:val="000000"/>
                <w:szCs w:val="22"/>
              </w:rPr>
            </w:pPr>
            <w:r w:rsidRPr="009C4792">
              <w:rPr>
                <w:iCs/>
                <w:color w:val="000000"/>
                <w:szCs w:val="22"/>
              </w:rPr>
              <w:t>53</w:t>
            </w:r>
            <w:r w:rsidR="00A13E1F">
              <w:rPr>
                <w:iCs/>
                <w:color w:val="000000"/>
                <w:szCs w:val="22"/>
              </w:rPr>
              <w:t xml:space="preserve"> (11%)</w:t>
            </w:r>
          </w:p>
        </w:tc>
        <w:tc>
          <w:tcPr>
            <w:tcW w:w="1275" w:type="dxa"/>
          </w:tcPr>
          <w:p w:rsidR="00CF7FB5" w:rsidRPr="009C4792" w:rsidRDefault="00CF7FB5" w:rsidP="009C4792">
            <w:pPr>
              <w:spacing w:line="276" w:lineRule="auto"/>
              <w:rPr>
                <w:iCs/>
                <w:color w:val="000000"/>
                <w:szCs w:val="22"/>
              </w:rPr>
            </w:pPr>
            <w:r w:rsidRPr="009C4792">
              <w:rPr>
                <w:iCs/>
                <w:color w:val="000000"/>
                <w:szCs w:val="22"/>
              </w:rPr>
              <w:t>16</w:t>
            </w:r>
            <w:r w:rsidR="00A13E1F">
              <w:rPr>
                <w:iCs/>
                <w:color w:val="000000"/>
                <w:szCs w:val="22"/>
              </w:rPr>
              <w:t xml:space="preserve"> (5%)</w:t>
            </w:r>
          </w:p>
        </w:tc>
      </w:tr>
      <w:tr w:rsidR="00CF7FB5" w:rsidRPr="009C4792" w:rsidTr="00A13E1F">
        <w:trPr>
          <w:jc w:val="center"/>
        </w:trPr>
        <w:tc>
          <w:tcPr>
            <w:tcW w:w="3720" w:type="dxa"/>
          </w:tcPr>
          <w:p w:rsidR="00CF7FB5" w:rsidRPr="009C4792" w:rsidRDefault="00CF7FB5" w:rsidP="009C4792">
            <w:pPr>
              <w:spacing w:line="276" w:lineRule="auto"/>
              <w:jc w:val="both"/>
              <w:rPr>
                <w:iCs/>
                <w:color w:val="000000"/>
                <w:szCs w:val="22"/>
              </w:rPr>
            </w:pPr>
            <w:r w:rsidRPr="009C4792">
              <w:rPr>
                <w:iCs/>
                <w:color w:val="000000"/>
                <w:szCs w:val="22"/>
              </w:rPr>
              <w:t>Students who attended exam</w:t>
            </w:r>
          </w:p>
        </w:tc>
        <w:tc>
          <w:tcPr>
            <w:tcW w:w="1249" w:type="dxa"/>
          </w:tcPr>
          <w:p w:rsidR="00CF7FB5" w:rsidRPr="009C4792" w:rsidRDefault="00CF7FB5" w:rsidP="009C4792">
            <w:pPr>
              <w:spacing w:line="276" w:lineRule="auto"/>
              <w:rPr>
                <w:iCs/>
                <w:color w:val="000000"/>
                <w:szCs w:val="22"/>
              </w:rPr>
            </w:pPr>
            <w:r w:rsidRPr="009C4792">
              <w:rPr>
                <w:iCs/>
                <w:color w:val="000000"/>
                <w:szCs w:val="22"/>
              </w:rPr>
              <w:t>155</w:t>
            </w:r>
            <w:r w:rsidR="00473B09">
              <w:rPr>
                <w:iCs/>
                <w:color w:val="000000"/>
                <w:szCs w:val="22"/>
              </w:rPr>
              <w:t xml:space="preserve"> (89%)</w:t>
            </w:r>
          </w:p>
        </w:tc>
        <w:tc>
          <w:tcPr>
            <w:tcW w:w="1279" w:type="dxa"/>
          </w:tcPr>
          <w:p w:rsidR="00CF7FB5" w:rsidRPr="009C4792" w:rsidRDefault="00CF7FB5" w:rsidP="009C4792">
            <w:pPr>
              <w:spacing w:line="276" w:lineRule="auto"/>
              <w:rPr>
                <w:iCs/>
                <w:color w:val="000000"/>
                <w:szCs w:val="22"/>
              </w:rPr>
            </w:pPr>
            <w:r w:rsidRPr="009C4792">
              <w:rPr>
                <w:iCs/>
                <w:color w:val="000000"/>
                <w:szCs w:val="22"/>
              </w:rPr>
              <w:t>418</w:t>
            </w:r>
            <w:r w:rsidR="00A13E1F">
              <w:rPr>
                <w:iCs/>
                <w:color w:val="000000"/>
                <w:szCs w:val="22"/>
              </w:rPr>
              <w:t xml:space="preserve"> (87%)</w:t>
            </w:r>
          </w:p>
        </w:tc>
        <w:tc>
          <w:tcPr>
            <w:tcW w:w="1275" w:type="dxa"/>
          </w:tcPr>
          <w:p w:rsidR="00CF7FB5" w:rsidRPr="009C4792" w:rsidRDefault="00CF7FB5" w:rsidP="009C4792">
            <w:pPr>
              <w:spacing w:line="276" w:lineRule="auto"/>
              <w:rPr>
                <w:iCs/>
                <w:color w:val="000000"/>
                <w:szCs w:val="22"/>
              </w:rPr>
            </w:pPr>
            <w:r w:rsidRPr="009C4792">
              <w:rPr>
                <w:iCs/>
                <w:color w:val="000000"/>
                <w:szCs w:val="22"/>
              </w:rPr>
              <w:t>269</w:t>
            </w:r>
            <w:r w:rsidR="00A13E1F">
              <w:rPr>
                <w:iCs/>
                <w:color w:val="000000"/>
                <w:szCs w:val="22"/>
              </w:rPr>
              <w:t xml:space="preserve"> (88%)</w:t>
            </w:r>
          </w:p>
        </w:tc>
      </w:tr>
      <w:tr w:rsidR="00CF7FB5" w:rsidRPr="009C4792" w:rsidTr="00A13E1F">
        <w:trPr>
          <w:jc w:val="center"/>
        </w:trPr>
        <w:tc>
          <w:tcPr>
            <w:tcW w:w="3720" w:type="dxa"/>
          </w:tcPr>
          <w:p w:rsidR="00CF7FB5" w:rsidRPr="009C4792" w:rsidRDefault="00CF7FB5" w:rsidP="009C4792">
            <w:pPr>
              <w:spacing w:line="276" w:lineRule="auto"/>
              <w:jc w:val="both"/>
              <w:rPr>
                <w:iCs/>
                <w:color w:val="000000"/>
                <w:szCs w:val="22"/>
              </w:rPr>
            </w:pPr>
            <w:r w:rsidRPr="009C4792">
              <w:rPr>
                <w:iCs/>
                <w:color w:val="000000"/>
                <w:szCs w:val="22"/>
              </w:rPr>
              <w:t>Number of absentees from exam</w:t>
            </w:r>
          </w:p>
        </w:tc>
        <w:tc>
          <w:tcPr>
            <w:tcW w:w="1249" w:type="dxa"/>
          </w:tcPr>
          <w:p w:rsidR="00CF7FB5" w:rsidRPr="009C4792" w:rsidRDefault="00CF7FB5" w:rsidP="009C4792">
            <w:pPr>
              <w:spacing w:line="276" w:lineRule="auto"/>
              <w:rPr>
                <w:iCs/>
                <w:color w:val="000000"/>
                <w:szCs w:val="22"/>
              </w:rPr>
            </w:pPr>
            <w:r w:rsidRPr="009C4792">
              <w:rPr>
                <w:iCs/>
                <w:color w:val="000000"/>
                <w:szCs w:val="22"/>
              </w:rPr>
              <w:t>1</w:t>
            </w:r>
            <w:r w:rsidR="00473B09">
              <w:rPr>
                <w:iCs/>
                <w:color w:val="000000"/>
                <w:szCs w:val="22"/>
              </w:rPr>
              <w:t xml:space="preserve"> (0.6%)</w:t>
            </w:r>
          </w:p>
        </w:tc>
        <w:tc>
          <w:tcPr>
            <w:tcW w:w="1279" w:type="dxa"/>
          </w:tcPr>
          <w:p w:rsidR="00CF7FB5" w:rsidRPr="009C4792" w:rsidRDefault="00CF7FB5" w:rsidP="009C4792">
            <w:pPr>
              <w:spacing w:line="276" w:lineRule="auto"/>
              <w:rPr>
                <w:iCs/>
                <w:color w:val="000000"/>
                <w:szCs w:val="22"/>
              </w:rPr>
            </w:pPr>
            <w:r w:rsidRPr="009C4792">
              <w:rPr>
                <w:iCs/>
                <w:color w:val="000000"/>
                <w:szCs w:val="22"/>
              </w:rPr>
              <w:t>10</w:t>
            </w:r>
            <w:r w:rsidR="00A13E1F">
              <w:rPr>
                <w:iCs/>
                <w:color w:val="000000"/>
                <w:szCs w:val="22"/>
              </w:rPr>
              <w:t xml:space="preserve"> (2.1%)</w:t>
            </w:r>
          </w:p>
        </w:tc>
        <w:tc>
          <w:tcPr>
            <w:tcW w:w="1275" w:type="dxa"/>
          </w:tcPr>
          <w:p w:rsidR="00CF7FB5" w:rsidRPr="009C4792" w:rsidRDefault="00CF7FB5" w:rsidP="009C4792">
            <w:pPr>
              <w:spacing w:line="276" w:lineRule="auto"/>
              <w:rPr>
                <w:iCs/>
                <w:color w:val="000000"/>
                <w:szCs w:val="22"/>
              </w:rPr>
            </w:pPr>
            <w:r w:rsidRPr="009C4792">
              <w:rPr>
                <w:iCs/>
                <w:color w:val="000000"/>
                <w:szCs w:val="22"/>
              </w:rPr>
              <w:t>21</w:t>
            </w:r>
            <w:r w:rsidR="00A13E1F">
              <w:rPr>
                <w:iCs/>
                <w:color w:val="000000"/>
                <w:szCs w:val="22"/>
              </w:rPr>
              <w:t xml:space="preserve"> (7%)</w:t>
            </w:r>
          </w:p>
        </w:tc>
      </w:tr>
      <w:tr w:rsidR="00CF7FB5" w:rsidRPr="009C4792" w:rsidTr="00A13E1F">
        <w:trPr>
          <w:jc w:val="center"/>
        </w:trPr>
        <w:tc>
          <w:tcPr>
            <w:tcW w:w="3720" w:type="dxa"/>
          </w:tcPr>
          <w:p w:rsidR="00CF7FB5" w:rsidRPr="009C4792" w:rsidRDefault="00CF7FB5" w:rsidP="009866E7">
            <w:pPr>
              <w:spacing w:line="276" w:lineRule="auto"/>
              <w:jc w:val="both"/>
              <w:rPr>
                <w:iCs/>
                <w:color w:val="000000"/>
                <w:szCs w:val="22"/>
              </w:rPr>
            </w:pPr>
            <w:r w:rsidRPr="009C4792">
              <w:rPr>
                <w:iCs/>
                <w:color w:val="000000"/>
                <w:szCs w:val="22"/>
              </w:rPr>
              <w:t>Students who passed exam</w:t>
            </w:r>
          </w:p>
        </w:tc>
        <w:tc>
          <w:tcPr>
            <w:tcW w:w="1249" w:type="dxa"/>
          </w:tcPr>
          <w:p w:rsidR="00CF7FB5" w:rsidRPr="009C4792" w:rsidRDefault="00CF7FB5" w:rsidP="009866E7">
            <w:pPr>
              <w:spacing w:line="276" w:lineRule="auto"/>
              <w:rPr>
                <w:iCs/>
                <w:color w:val="000000"/>
                <w:szCs w:val="22"/>
              </w:rPr>
            </w:pPr>
            <w:r w:rsidRPr="009C4792">
              <w:rPr>
                <w:iCs/>
                <w:color w:val="000000"/>
                <w:szCs w:val="22"/>
              </w:rPr>
              <w:t>92</w:t>
            </w:r>
            <w:r w:rsidR="00473B09">
              <w:rPr>
                <w:iCs/>
                <w:color w:val="000000"/>
                <w:szCs w:val="22"/>
              </w:rPr>
              <w:t xml:space="preserve"> (</w:t>
            </w:r>
            <w:r w:rsidR="00A13E1F">
              <w:rPr>
                <w:iCs/>
                <w:color w:val="000000"/>
                <w:szCs w:val="22"/>
              </w:rPr>
              <w:t>53%)</w:t>
            </w:r>
          </w:p>
        </w:tc>
        <w:tc>
          <w:tcPr>
            <w:tcW w:w="1279" w:type="dxa"/>
          </w:tcPr>
          <w:p w:rsidR="00CF7FB5" w:rsidRPr="009C4792" w:rsidRDefault="00CF7FB5" w:rsidP="009866E7">
            <w:pPr>
              <w:spacing w:line="276" w:lineRule="auto"/>
              <w:rPr>
                <w:iCs/>
                <w:color w:val="000000"/>
                <w:szCs w:val="22"/>
              </w:rPr>
            </w:pPr>
            <w:r w:rsidRPr="009C4792">
              <w:rPr>
                <w:iCs/>
                <w:color w:val="000000"/>
                <w:szCs w:val="22"/>
              </w:rPr>
              <w:t>268</w:t>
            </w:r>
            <w:r w:rsidR="00A13E1F">
              <w:rPr>
                <w:iCs/>
                <w:color w:val="000000"/>
                <w:szCs w:val="22"/>
              </w:rPr>
              <w:t xml:space="preserve"> (56 %)</w:t>
            </w:r>
          </w:p>
        </w:tc>
        <w:tc>
          <w:tcPr>
            <w:tcW w:w="1275" w:type="dxa"/>
          </w:tcPr>
          <w:p w:rsidR="00CF7FB5" w:rsidRPr="009C4792" w:rsidRDefault="00CF7FB5" w:rsidP="009866E7">
            <w:pPr>
              <w:spacing w:line="276" w:lineRule="auto"/>
              <w:rPr>
                <w:iCs/>
                <w:color w:val="000000"/>
                <w:szCs w:val="22"/>
              </w:rPr>
            </w:pPr>
            <w:r w:rsidRPr="009C4792">
              <w:rPr>
                <w:iCs/>
                <w:color w:val="000000"/>
                <w:szCs w:val="22"/>
              </w:rPr>
              <w:t>139</w:t>
            </w:r>
            <w:r w:rsidR="00A13E1F">
              <w:rPr>
                <w:iCs/>
                <w:color w:val="000000"/>
                <w:szCs w:val="22"/>
              </w:rPr>
              <w:t xml:space="preserve"> (5%)</w:t>
            </w:r>
          </w:p>
        </w:tc>
      </w:tr>
      <w:tr w:rsidR="00CF7FB5" w:rsidRPr="009C4792" w:rsidTr="00A13E1F">
        <w:trPr>
          <w:jc w:val="center"/>
        </w:trPr>
        <w:tc>
          <w:tcPr>
            <w:tcW w:w="3720" w:type="dxa"/>
          </w:tcPr>
          <w:p w:rsidR="00CF7FB5" w:rsidRPr="009C4792" w:rsidRDefault="00CF7FB5" w:rsidP="009C4792">
            <w:pPr>
              <w:spacing w:line="276" w:lineRule="auto"/>
              <w:jc w:val="both"/>
              <w:rPr>
                <w:iCs/>
                <w:color w:val="000000"/>
                <w:szCs w:val="22"/>
              </w:rPr>
            </w:pPr>
            <w:r w:rsidRPr="009C4792">
              <w:rPr>
                <w:iCs/>
                <w:color w:val="000000"/>
                <w:szCs w:val="22"/>
              </w:rPr>
              <w:t>Students who passed the module</w:t>
            </w:r>
          </w:p>
        </w:tc>
        <w:tc>
          <w:tcPr>
            <w:tcW w:w="1249" w:type="dxa"/>
          </w:tcPr>
          <w:p w:rsidR="00CF7FB5" w:rsidRPr="009C4792" w:rsidRDefault="00CF7FB5" w:rsidP="009C4792">
            <w:pPr>
              <w:spacing w:line="276" w:lineRule="auto"/>
              <w:rPr>
                <w:iCs/>
                <w:color w:val="000000"/>
                <w:szCs w:val="22"/>
              </w:rPr>
            </w:pPr>
            <w:r w:rsidRPr="009C4792">
              <w:rPr>
                <w:iCs/>
                <w:color w:val="000000"/>
                <w:szCs w:val="22"/>
              </w:rPr>
              <w:t>108</w:t>
            </w:r>
            <w:r w:rsidR="00A13E1F">
              <w:rPr>
                <w:iCs/>
                <w:color w:val="000000"/>
                <w:szCs w:val="22"/>
              </w:rPr>
              <w:t xml:space="preserve"> (62%)</w:t>
            </w:r>
          </w:p>
        </w:tc>
        <w:tc>
          <w:tcPr>
            <w:tcW w:w="1279" w:type="dxa"/>
          </w:tcPr>
          <w:p w:rsidR="00CF7FB5" w:rsidRPr="009C4792" w:rsidRDefault="00CF7FB5" w:rsidP="009C4792">
            <w:pPr>
              <w:spacing w:line="276" w:lineRule="auto"/>
              <w:rPr>
                <w:iCs/>
                <w:color w:val="000000"/>
                <w:szCs w:val="22"/>
              </w:rPr>
            </w:pPr>
            <w:r w:rsidRPr="009C4792">
              <w:rPr>
                <w:iCs/>
                <w:color w:val="000000"/>
                <w:szCs w:val="22"/>
              </w:rPr>
              <w:t>324</w:t>
            </w:r>
            <w:r w:rsidR="00A13E1F">
              <w:rPr>
                <w:iCs/>
                <w:color w:val="000000"/>
                <w:szCs w:val="22"/>
              </w:rPr>
              <w:t xml:space="preserve"> (67%)</w:t>
            </w:r>
          </w:p>
        </w:tc>
        <w:tc>
          <w:tcPr>
            <w:tcW w:w="1275" w:type="dxa"/>
          </w:tcPr>
          <w:p w:rsidR="00CF7FB5" w:rsidRPr="009C4792" w:rsidRDefault="00CF7FB5" w:rsidP="009C4792">
            <w:pPr>
              <w:spacing w:line="276" w:lineRule="auto"/>
              <w:rPr>
                <w:iCs/>
                <w:color w:val="000000"/>
                <w:szCs w:val="22"/>
              </w:rPr>
            </w:pPr>
            <w:r w:rsidRPr="009C4792">
              <w:rPr>
                <w:iCs/>
                <w:color w:val="000000"/>
                <w:szCs w:val="22"/>
              </w:rPr>
              <w:t>205</w:t>
            </w:r>
            <w:r w:rsidR="00A13E1F">
              <w:rPr>
                <w:iCs/>
                <w:color w:val="000000"/>
                <w:szCs w:val="22"/>
              </w:rPr>
              <w:t xml:space="preserve"> (67%)</w:t>
            </w:r>
          </w:p>
        </w:tc>
      </w:tr>
    </w:tbl>
    <w:p w:rsidR="00CF7FB5" w:rsidRDefault="00CF7FB5" w:rsidP="0028467B">
      <w:pPr>
        <w:pStyle w:val="BodytextIndented"/>
        <w:rPr>
          <w:rFonts w:ascii="Times New Roman" w:hAnsi="Times New Roman"/>
          <w:iCs w:val="0"/>
          <w:color w:val="auto"/>
          <w:sz w:val="24"/>
          <w:szCs w:val="20"/>
          <w:lang w:val="en-GB"/>
        </w:rPr>
      </w:pPr>
    </w:p>
    <w:p w:rsidR="00CF7FB5" w:rsidRDefault="00CF7FB5" w:rsidP="001D79BD">
      <w:pPr>
        <w:autoSpaceDE w:val="0"/>
        <w:autoSpaceDN w:val="0"/>
        <w:adjustRightInd w:val="0"/>
        <w:spacing w:line="276" w:lineRule="auto"/>
        <w:jc w:val="both"/>
        <w:rPr>
          <w:rFonts w:ascii="Times New Roman" w:hAnsi="Times New Roman"/>
          <w:sz w:val="24"/>
        </w:rPr>
      </w:pPr>
      <w:r>
        <w:rPr>
          <w:rFonts w:ascii="Times New Roman" w:hAnsi="Times New Roman"/>
          <w:sz w:val="24"/>
        </w:rPr>
        <w:t xml:space="preserve">Table 2: </w:t>
      </w:r>
      <w:r w:rsidR="00721035">
        <w:rPr>
          <w:rFonts w:ascii="Times New Roman" w:hAnsi="Times New Roman"/>
          <w:sz w:val="24"/>
        </w:rPr>
        <w:t>Mark</w:t>
      </w:r>
      <w:r w:rsidRPr="00CF7FB5">
        <w:rPr>
          <w:rFonts w:ascii="Times New Roman" w:hAnsi="Times New Roman"/>
          <w:sz w:val="24"/>
        </w:rPr>
        <w:t xml:space="preserve"> groupings of students' performances in the years 2010, 2011 and 2012; data represented in percentage</w:t>
      </w:r>
      <w:r>
        <w:rPr>
          <w:rFonts w:ascii="Times New Roman" w:hAnsi="Times New Roman"/>
          <w:sz w:val="24"/>
        </w:rPr>
        <w:t>.</w:t>
      </w:r>
    </w:p>
    <w:p w:rsidR="00F76043" w:rsidRPr="009C4792" w:rsidRDefault="00F76043" w:rsidP="00F76043">
      <w:pPr>
        <w:autoSpaceDE w:val="0"/>
        <w:autoSpaceDN w:val="0"/>
        <w:adjustRightInd w:val="0"/>
        <w:spacing w:line="360" w:lineRule="auto"/>
        <w:jc w:val="both"/>
        <w:rPr>
          <w:rFonts w:ascii="Times New Roman" w:hAnsi="Times New Roman"/>
          <w:szCs w:val="22"/>
        </w:rPr>
      </w:pPr>
    </w:p>
    <w:tbl>
      <w:tblPr>
        <w:tblW w:w="6774" w:type="dxa"/>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2868"/>
        <w:gridCol w:w="1086"/>
        <w:gridCol w:w="1134"/>
        <w:gridCol w:w="1234"/>
      </w:tblGrid>
      <w:tr w:rsidR="00012BD1" w:rsidRPr="009C4792" w:rsidTr="00721035">
        <w:trPr>
          <w:jc w:val="center"/>
        </w:trPr>
        <w:tc>
          <w:tcPr>
            <w:tcW w:w="452" w:type="dxa"/>
          </w:tcPr>
          <w:p w:rsidR="00012BD1" w:rsidRPr="009C4792" w:rsidRDefault="00012BD1" w:rsidP="00EC2D59">
            <w:pPr>
              <w:jc w:val="center"/>
              <w:rPr>
                <w:iCs/>
                <w:color w:val="000000"/>
                <w:szCs w:val="22"/>
              </w:rPr>
            </w:pPr>
          </w:p>
        </w:tc>
        <w:tc>
          <w:tcPr>
            <w:tcW w:w="2868" w:type="dxa"/>
          </w:tcPr>
          <w:p w:rsidR="00012BD1" w:rsidRPr="009C4792" w:rsidRDefault="00012BD1" w:rsidP="00EC2D59">
            <w:pPr>
              <w:jc w:val="center"/>
              <w:rPr>
                <w:iCs/>
                <w:color w:val="000000"/>
                <w:szCs w:val="22"/>
              </w:rPr>
            </w:pPr>
          </w:p>
        </w:tc>
        <w:tc>
          <w:tcPr>
            <w:tcW w:w="1086" w:type="dxa"/>
          </w:tcPr>
          <w:p w:rsidR="00012BD1" w:rsidRPr="00473B09" w:rsidRDefault="00012BD1" w:rsidP="00EC2D59">
            <w:pPr>
              <w:rPr>
                <w:b/>
                <w:iCs/>
                <w:color w:val="000000"/>
                <w:szCs w:val="22"/>
              </w:rPr>
            </w:pPr>
            <w:r w:rsidRPr="00473B09">
              <w:rPr>
                <w:b/>
                <w:iCs/>
                <w:color w:val="000000"/>
                <w:szCs w:val="22"/>
              </w:rPr>
              <w:t>2010</w:t>
            </w:r>
            <w:r w:rsidR="00A13E1F">
              <w:rPr>
                <w:b/>
                <w:iCs/>
                <w:color w:val="000000"/>
                <w:szCs w:val="22"/>
              </w:rPr>
              <w:t xml:space="preserve"> (%)</w:t>
            </w:r>
          </w:p>
        </w:tc>
        <w:tc>
          <w:tcPr>
            <w:tcW w:w="1134" w:type="dxa"/>
          </w:tcPr>
          <w:p w:rsidR="00012BD1" w:rsidRPr="00473B09" w:rsidRDefault="00012BD1" w:rsidP="00EC2D59">
            <w:pPr>
              <w:rPr>
                <w:b/>
                <w:iCs/>
                <w:color w:val="000000"/>
                <w:szCs w:val="22"/>
              </w:rPr>
            </w:pPr>
            <w:r w:rsidRPr="00473B09">
              <w:rPr>
                <w:b/>
                <w:iCs/>
                <w:color w:val="000000"/>
                <w:szCs w:val="22"/>
              </w:rPr>
              <w:t>2011</w:t>
            </w:r>
            <w:r w:rsidR="00A13E1F">
              <w:rPr>
                <w:b/>
                <w:iCs/>
                <w:color w:val="000000"/>
                <w:szCs w:val="22"/>
              </w:rPr>
              <w:t xml:space="preserve"> (%)</w:t>
            </w:r>
          </w:p>
        </w:tc>
        <w:tc>
          <w:tcPr>
            <w:tcW w:w="1234" w:type="dxa"/>
          </w:tcPr>
          <w:p w:rsidR="00012BD1" w:rsidRPr="00473B09" w:rsidRDefault="00012BD1" w:rsidP="00EC2D59">
            <w:pPr>
              <w:rPr>
                <w:b/>
                <w:iCs/>
                <w:color w:val="000000"/>
                <w:szCs w:val="22"/>
              </w:rPr>
            </w:pPr>
            <w:r w:rsidRPr="00473B09">
              <w:rPr>
                <w:b/>
                <w:iCs/>
                <w:color w:val="000000"/>
                <w:szCs w:val="22"/>
              </w:rPr>
              <w:t>2012</w:t>
            </w:r>
            <w:r w:rsidR="00A13E1F">
              <w:rPr>
                <w:b/>
                <w:iCs/>
                <w:color w:val="000000"/>
                <w:szCs w:val="22"/>
              </w:rPr>
              <w:t xml:space="preserve"> (%)</w:t>
            </w:r>
          </w:p>
        </w:tc>
      </w:tr>
      <w:tr w:rsidR="00012BD1" w:rsidRPr="009C4792" w:rsidTr="00721035">
        <w:trPr>
          <w:jc w:val="center"/>
        </w:trPr>
        <w:tc>
          <w:tcPr>
            <w:tcW w:w="452" w:type="dxa"/>
          </w:tcPr>
          <w:p w:rsidR="00012BD1" w:rsidRPr="009C4792" w:rsidRDefault="00012BD1" w:rsidP="009C4792">
            <w:pPr>
              <w:spacing w:line="276" w:lineRule="auto"/>
              <w:jc w:val="both"/>
              <w:rPr>
                <w:iCs/>
                <w:color w:val="000000"/>
                <w:szCs w:val="22"/>
              </w:rPr>
            </w:pPr>
            <w:r w:rsidRPr="009C4792">
              <w:rPr>
                <w:iCs/>
                <w:color w:val="000000"/>
                <w:szCs w:val="22"/>
              </w:rPr>
              <w:t>1</w:t>
            </w:r>
          </w:p>
        </w:tc>
        <w:tc>
          <w:tcPr>
            <w:tcW w:w="2868" w:type="dxa"/>
          </w:tcPr>
          <w:p w:rsidR="00012BD1" w:rsidRPr="009C4792" w:rsidRDefault="00012BD1" w:rsidP="009C4792">
            <w:pPr>
              <w:spacing w:line="276" w:lineRule="auto"/>
              <w:jc w:val="both"/>
              <w:rPr>
                <w:iCs/>
                <w:color w:val="000000"/>
                <w:szCs w:val="22"/>
              </w:rPr>
            </w:pPr>
            <w:r w:rsidRPr="009C4792">
              <w:rPr>
                <w:iCs/>
                <w:color w:val="000000"/>
                <w:szCs w:val="22"/>
              </w:rPr>
              <w:t>Average semester mark</w:t>
            </w:r>
          </w:p>
        </w:tc>
        <w:tc>
          <w:tcPr>
            <w:tcW w:w="1086" w:type="dxa"/>
          </w:tcPr>
          <w:p w:rsidR="00012BD1" w:rsidRPr="009C4792" w:rsidRDefault="00F76043" w:rsidP="009C4792">
            <w:pPr>
              <w:spacing w:line="276" w:lineRule="auto"/>
              <w:rPr>
                <w:iCs/>
                <w:color w:val="000000"/>
                <w:szCs w:val="22"/>
              </w:rPr>
            </w:pPr>
            <w:r w:rsidRPr="009C4792">
              <w:rPr>
                <w:iCs/>
                <w:color w:val="000000"/>
                <w:szCs w:val="22"/>
              </w:rPr>
              <w:t>57</w:t>
            </w:r>
          </w:p>
        </w:tc>
        <w:tc>
          <w:tcPr>
            <w:tcW w:w="1134" w:type="dxa"/>
          </w:tcPr>
          <w:p w:rsidR="00012BD1" w:rsidRPr="009C4792" w:rsidRDefault="00F76043" w:rsidP="009C4792">
            <w:pPr>
              <w:spacing w:line="276" w:lineRule="auto"/>
              <w:rPr>
                <w:iCs/>
                <w:color w:val="000000"/>
                <w:szCs w:val="22"/>
              </w:rPr>
            </w:pPr>
            <w:r w:rsidRPr="009C4792">
              <w:rPr>
                <w:iCs/>
                <w:color w:val="000000"/>
                <w:szCs w:val="22"/>
              </w:rPr>
              <w:t>54</w:t>
            </w:r>
          </w:p>
        </w:tc>
        <w:tc>
          <w:tcPr>
            <w:tcW w:w="1234" w:type="dxa"/>
          </w:tcPr>
          <w:p w:rsidR="00012BD1" w:rsidRPr="009C4792" w:rsidRDefault="00F76043" w:rsidP="009C4792">
            <w:pPr>
              <w:spacing w:line="276" w:lineRule="auto"/>
              <w:rPr>
                <w:iCs/>
                <w:color w:val="000000"/>
                <w:szCs w:val="22"/>
              </w:rPr>
            </w:pPr>
            <w:r w:rsidRPr="009C4792">
              <w:rPr>
                <w:iCs/>
                <w:color w:val="000000"/>
                <w:szCs w:val="22"/>
              </w:rPr>
              <w:t>59</w:t>
            </w:r>
          </w:p>
        </w:tc>
      </w:tr>
      <w:tr w:rsidR="00012BD1" w:rsidRPr="009C4792" w:rsidTr="00721035">
        <w:trPr>
          <w:jc w:val="center"/>
        </w:trPr>
        <w:tc>
          <w:tcPr>
            <w:tcW w:w="452" w:type="dxa"/>
          </w:tcPr>
          <w:p w:rsidR="00012BD1" w:rsidRPr="009C4792" w:rsidRDefault="00012BD1" w:rsidP="009C4792">
            <w:pPr>
              <w:spacing w:line="276" w:lineRule="auto"/>
              <w:jc w:val="both"/>
              <w:rPr>
                <w:iCs/>
                <w:color w:val="000000"/>
                <w:szCs w:val="22"/>
              </w:rPr>
            </w:pPr>
            <w:r w:rsidRPr="009C4792">
              <w:rPr>
                <w:iCs/>
                <w:color w:val="000000"/>
                <w:szCs w:val="22"/>
              </w:rPr>
              <w:t>2</w:t>
            </w:r>
          </w:p>
        </w:tc>
        <w:tc>
          <w:tcPr>
            <w:tcW w:w="2868" w:type="dxa"/>
          </w:tcPr>
          <w:p w:rsidR="00012BD1" w:rsidRPr="009C4792" w:rsidRDefault="00012BD1" w:rsidP="009C4792">
            <w:pPr>
              <w:spacing w:line="276" w:lineRule="auto"/>
              <w:jc w:val="both"/>
              <w:rPr>
                <w:iCs/>
                <w:color w:val="000000"/>
                <w:szCs w:val="22"/>
              </w:rPr>
            </w:pPr>
            <w:r w:rsidRPr="009C4792">
              <w:rPr>
                <w:iCs/>
                <w:color w:val="000000"/>
                <w:szCs w:val="22"/>
              </w:rPr>
              <w:t>Average final exam mark</w:t>
            </w:r>
          </w:p>
        </w:tc>
        <w:tc>
          <w:tcPr>
            <w:tcW w:w="1086" w:type="dxa"/>
          </w:tcPr>
          <w:p w:rsidR="00012BD1" w:rsidRPr="009C4792" w:rsidRDefault="00F76043" w:rsidP="009C4792">
            <w:pPr>
              <w:spacing w:line="276" w:lineRule="auto"/>
              <w:rPr>
                <w:iCs/>
                <w:color w:val="000000"/>
                <w:szCs w:val="22"/>
              </w:rPr>
            </w:pPr>
            <w:r w:rsidRPr="009C4792">
              <w:rPr>
                <w:iCs/>
                <w:color w:val="000000"/>
                <w:szCs w:val="22"/>
              </w:rPr>
              <w:t>52</w:t>
            </w:r>
          </w:p>
        </w:tc>
        <w:tc>
          <w:tcPr>
            <w:tcW w:w="1134" w:type="dxa"/>
          </w:tcPr>
          <w:p w:rsidR="00012BD1" w:rsidRPr="009C4792" w:rsidRDefault="00F76043" w:rsidP="009C4792">
            <w:pPr>
              <w:spacing w:line="276" w:lineRule="auto"/>
              <w:rPr>
                <w:iCs/>
                <w:color w:val="000000"/>
                <w:szCs w:val="22"/>
              </w:rPr>
            </w:pPr>
            <w:r w:rsidRPr="009C4792">
              <w:rPr>
                <w:iCs/>
                <w:color w:val="000000"/>
                <w:szCs w:val="22"/>
              </w:rPr>
              <w:t>54</w:t>
            </w:r>
          </w:p>
        </w:tc>
        <w:tc>
          <w:tcPr>
            <w:tcW w:w="1234" w:type="dxa"/>
          </w:tcPr>
          <w:p w:rsidR="00012BD1" w:rsidRPr="009C4792" w:rsidRDefault="00F76043" w:rsidP="009C4792">
            <w:pPr>
              <w:spacing w:line="276" w:lineRule="auto"/>
              <w:rPr>
                <w:iCs/>
                <w:color w:val="000000"/>
                <w:szCs w:val="22"/>
              </w:rPr>
            </w:pPr>
            <w:r w:rsidRPr="009C4792">
              <w:rPr>
                <w:iCs/>
                <w:color w:val="000000"/>
                <w:szCs w:val="22"/>
              </w:rPr>
              <w:t>50</w:t>
            </w:r>
          </w:p>
        </w:tc>
      </w:tr>
      <w:tr w:rsidR="00012BD1" w:rsidRPr="009C4792" w:rsidTr="00721035">
        <w:trPr>
          <w:jc w:val="center"/>
        </w:trPr>
        <w:tc>
          <w:tcPr>
            <w:tcW w:w="452" w:type="dxa"/>
          </w:tcPr>
          <w:p w:rsidR="00012BD1" w:rsidRPr="009C4792" w:rsidRDefault="00012BD1" w:rsidP="009C4792">
            <w:pPr>
              <w:spacing w:line="276" w:lineRule="auto"/>
              <w:jc w:val="both"/>
              <w:rPr>
                <w:iCs/>
                <w:color w:val="000000"/>
                <w:szCs w:val="22"/>
              </w:rPr>
            </w:pPr>
            <w:r w:rsidRPr="009C4792">
              <w:rPr>
                <w:iCs/>
                <w:color w:val="000000"/>
                <w:szCs w:val="22"/>
              </w:rPr>
              <w:t>3</w:t>
            </w:r>
          </w:p>
        </w:tc>
        <w:tc>
          <w:tcPr>
            <w:tcW w:w="2868" w:type="dxa"/>
          </w:tcPr>
          <w:p w:rsidR="00012BD1" w:rsidRPr="009C4792" w:rsidRDefault="00012BD1" w:rsidP="009C4792">
            <w:pPr>
              <w:spacing w:line="276" w:lineRule="auto"/>
              <w:jc w:val="both"/>
              <w:rPr>
                <w:iCs/>
                <w:color w:val="000000"/>
                <w:szCs w:val="22"/>
              </w:rPr>
            </w:pPr>
            <w:r w:rsidRPr="009C4792">
              <w:rPr>
                <w:iCs/>
                <w:color w:val="000000"/>
                <w:szCs w:val="22"/>
              </w:rPr>
              <w:t>Exam pass rate</w:t>
            </w:r>
          </w:p>
        </w:tc>
        <w:tc>
          <w:tcPr>
            <w:tcW w:w="1086" w:type="dxa"/>
          </w:tcPr>
          <w:p w:rsidR="00012BD1" w:rsidRPr="009C4792" w:rsidRDefault="00F76043" w:rsidP="009C4792">
            <w:pPr>
              <w:spacing w:line="276" w:lineRule="auto"/>
              <w:rPr>
                <w:iCs/>
                <w:color w:val="000000"/>
                <w:szCs w:val="22"/>
              </w:rPr>
            </w:pPr>
            <w:r w:rsidRPr="009C4792">
              <w:rPr>
                <w:iCs/>
                <w:color w:val="000000"/>
                <w:szCs w:val="22"/>
              </w:rPr>
              <w:t>59</w:t>
            </w:r>
          </w:p>
        </w:tc>
        <w:tc>
          <w:tcPr>
            <w:tcW w:w="1134" w:type="dxa"/>
          </w:tcPr>
          <w:p w:rsidR="00012BD1" w:rsidRPr="009C4792" w:rsidRDefault="00F76043" w:rsidP="009C4792">
            <w:pPr>
              <w:spacing w:line="276" w:lineRule="auto"/>
              <w:rPr>
                <w:iCs/>
                <w:color w:val="000000"/>
                <w:szCs w:val="22"/>
              </w:rPr>
            </w:pPr>
            <w:r w:rsidRPr="009C4792">
              <w:rPr>
                <w:iCs/>
                <w:color w:val="000000"/>
                <w:szCs w:val="22"/>
              </w:rPr>
              <w:t>64</w:t>
            </w:r>
          </w:p>
        </w:tc>
        <w:tc>
          <w:tcPr>
            <w:tcW w:w="1234" w:type="dxa"/>
          </w:tcPr>
          <w:p w:rsidR="00012BD1" w:rsidRPr="009C4792" w:rsidRDefault="00F76043" w:rsidP="009C4792">
            <w:pPr>
              <w:spacing w:line="276" w:lineRule="auto"/>
              <w:rPr>
                <w:iCs/>
                <w:color w:val="000000"/>
                <w:szCs w:val="22"/>
              </w:rPr>
            </w:pPr>
            <w:r w:rsidRPr="009C4792">
              <w:rPr>
                <w:iCs/>
                <w:color w:val="000000"/>
                <w:szCs w:val="22"/>
              </w:rPr>
              <w:t>52</w:t>
            </w:r>
          </w:p>
        </w:tc>
      </w:tr>
      <w:tr w:rsidR="00012BD1" w:rsidRPr="009C4792" w:rsidTr="00721035">
        <w:trPr>
          <w:jc w:val="center"/>
        </w:trPr>
        <w:tc>
          <w:tcPr>
            <w:tcW w:w="452" w:type="dxa"/>
          </w:tcPr>
          <w:p w:rsidR="00012BD1" w:rsidRPr="009C4792" w:rsidRDefault="00012BD1" w:rsidP="009C4792">
            <w:pPr>
              <w:spacing w:line="276" w:lineRule="auto"/>
              <w:jc w:val="both"/>
              <w:rPr>
                <w:iCs/>
                <w:color w:val="000000"/>
                <w:szCs w:val="22"/>
              </w:rPr>
            </w:pPr>
            <w:r w:rsidRPr="009C4792">
              <w:rPr>
                <w:iCs/>
                <w:color w:val="000000"/>
                <w:szCs w:val="22"/>
              </w:rPr>
              <w:t>4</w:t>
            </w:r>
          </w:p>
        </w:tc>
        <w:tc>
          <w:tcPr>
            <w:tcW w:w="2868" w:type="dxa"/>
          </w:tcPr>
          <w:p w:rsidR="00012BD1" w:rsidRPr="009C4792" w:rsidRDefault="00012BD1" w:rsidP="009C4792">
            <w:pPr>
              <w:spacing w:line="276" w:lineRule="auto"/>
              <w:jc w:val="both"/>
              <w:rPr>
                <w:iCs/>
                <w:color w:val="000000"/>
                <w:szCs w:val="22"/>
              </w:rPr>
            </w:pPr>
            <w:r w:rsidRPr="009C4792">
              <w:rPr>
                <w:iCs/>
                <w:color w:val="000000"/>
                <w:szCs w:val="22"/>
              </w:rPr>
              <w:t>Average module mark</w:t>
            </w:r>
          </w:p>
        </w:tc>
        <w:tc>
          <w:tcPr>
            <w:tcW w:w="1086" w:type="dxa"/>
          </w:tcPr>
          <w:p w:rsidR="00012BD1" w:rsidRPr="009C4792" w:rsidRDefault="00F76043" w:rsidP="009C4792">
            <w:pPr>
              <w:spacing w:line="276" w:lineRule="auto"/>
              <w:rPr>
                <w:iCs/>
                <w:color w:val="000000"/>
                <w:szCs w:val="22"/>
              </w:rPr>
            </w:pPr>
            <w:r w:rsidRPr="009C4792">
              <w:rPr>
                <w:iCs/>
                <w:color w:val="000000"/>
                <w:szCs w:val="22"/>
              </w:rPr>
              <w:t>52</w:t>
            </w:r>
          </w:p>
        </w:tc>
        <w:tc>
          <w:tcPr>
            <w:tcW w:w="1134" w:type="dxa"/>
          </w:tcPr>
          <w:p w:rsidR="00012BD1" w:rsidRPr="009C4792" w:rsidRDefault="00F76043" w:rsidP="009C4792">
            <w:pPr>
              <w:spacing w:line="276" w:lineRule="auto"/>
              <w:rPr>
                <w:iCs/>
                <w:color w:val="000000"/>
                <w:szCs w:val="22"/>
              </w:rPr>
            </w:pPr>
            <w:r w:rsidRPr="009C4792">
              <w:rPr>
                <w:iCs/>
                <w:color w:val="000000"/>
                <w:szCs w:val="22"/>
              </w:rPr>
              <w:t>50</w:t>
            </w:r>
          </w:p>
        </w:tc>
        <w:tc>
          <w:tcPr>
            <w:tcW w:w="1234" w:type="dxa"/>
          </w:tcPr>
          <w:p w:rsidR="00012BD1" w:rsidRPr="009C4792" w:rsidRDefault="00F76043" w:rsidP="009C4792">
            <w:pPr>
              <w:spacing w:line="276" w:lineRule="auto"/>
              <w:rPr>
                <w:iCs/>
                <w:color w:val="000000"/>
                <w:szCs w:val="22"/>
              </w:rPr>
            </w:pPr>
            <w:r w:rsidRPr="009C4792">
              <w:rPr>
                <w:iCs/>
                <w:color w:val="000000"/>
                <w:szCs w:val="22"/>
              </w:rPr>
              <w:t>52</w:t>
            </w:r>
          </w:p>
        </w:tc>
      </w:tr>
      <w:tr w:rsidR="00012BD1" w:rsidRPr="009C4792" w:rsidTr="00721035">
        <w:trPr>
          <w:jc w:val="center"/>
        </w:trPr>
        <w:tc>
          <w:tcPr>
            <w:tcW w:w="452" w:type="dxa"/>
          </w:tcPr>
          <w:p w:rsidR="00012BD1" w:rsidRPr="009C4792" w:rsidRDefault="00012BD1" w:rsidP="009C4792">
            <w:pPr>
              <w:spacing w:line="276" w:lineRule="auto"/>
              <w:jc w:val="both"/>
              <w:rPr>
                <w:iCs/>
                <w:color w:val="000000"/>
                <w:szCs w:val="22"/>
              </w:rPr>
            </w:pPr>
            <w:r w:rsidRPr="009C4792">
              <w:rPr>
                <w:iCs/>
                <w:color w:val="000000"/>
                <w:szCs w:val="22"/>
              </w:rPr>
              <w:t>5</w:t>
            </w:r>
          </w:p>
        </w:tc>
        <w:tc>
          <w:tcPr>
            <w:tcW w:w="2868" w:type="dxa"/>
          </w:tcPr>
          <w:p w:rsidR="00012BD1" w:rsidRPr="009C4792" w:rsidRDefault="00012BD1" w:rsidP="009C4792">
            <w:pPr>
              <w:spacing w:line="276" w:lineRule="auto"/>
              <w:jc w:val="both"/>
              <w:rPr>
                <w:iCs/>
                <w:color w:val="000000"/>
                <w:szCs w:val="22"/>
              </w:rPr>
            </w:pPr>
            <w:r w:rsidRPr="009C4792">
              <w:rPr>
                <w:iCs/>
                <w:color w:val="000000"/>
                <w:szCs w:val="22"/>
              </w:rPr>
              <w:t>Module pass rate</w:t>
            </w:r>
          </w:p>
        </w:tc>
        <w:tc>
          <w:tcPr>
            <w:tcW w:w="1086" w:type="dxa"/>
          </w:tcPr>
          <w:p w:rsidR="00012BD1" w:rsidRPr="009C4792" w:rsidRDefault="00F76043" w:rsidP="009C4792">
            <w:pPr>
              <w:spacing w:line="276" w:lineRule="auto"/>
              <w:rPr>
                <w:iCs/>
                <w:color w:val="000000"/>
                <w:szCs w:val="22"/>
              </w:rPr>
            </w:pPr>
            <w:r w:rsidRPr="009C4792">
              <w:rPr>
                <w:iCs/>
                <w:color w:val="000000"/>
                <w:szCs w:val="22"/>
              </w:rPr>
              <w:t>70</w:t>
            </w:r>
          </w:p>
        </w:tc>
        <w:tc>
          <w:tcPr>
            <w:tcW w:w="1134" w:type="dxa"/>
          </w:tcPr>
          <w:p w:rsidR="00012BD1" w:rsidRPr="009C4792" w:rsidRDefault="00F76043" w:rsidP="009C4792">
            <w:pPr>
              <w:spacing w:line="276" w:lineRule="auto"/>
              <w:rPr>
                <w:iCs/>
                <w:color w:val="000000"/>
                <w:szCs w:val="22"/>
              </w:rPr>
            </w:pPr>
            <w:r w:rsidRPr="009C4792">
              <w:rPr>
                <w:iCs/>
                <w:color w:val="000000"/>
                <w:szCs w:val="22"/>
              </w:rPr>
              <w:t>78</w:t>
            </w:r>
          </w:p>
        </w:tc>
        <w:tc>
          <w:tcPr>
            <w:tcW w:w="1234" w:type="dxa"/>
          </w:tcPr>
          <w:p w:rsidR="00012BD1" w:rsidRPr="009C4792" w:rsidRDefault="00F76043" w:rsidP="009C4792">
            <w:pPr>
              <w:spacing w:line="276" w:lineRule="auto"/>
              <w:rPr>
                <w:iCs/>
                <w:color w:val="000000"/>
                <w:szCs w:val="22"/>
              </w:rPr>
            </w:pPr>
            <w:r w:rsidRPr="009C4792">
              <w:rPr>
                <w:iCs/>
                <w:color w:val="000000"/>
                <w:szCs w:val="22"/>
              </w:rPr>
              <w:t>76</w:t>
            </w:r>
          </w:p>
        </w:tc>
      </w:tr>
      <w:tr w:rsidR="00012BD1" w:rsidRPr="009C4792" w:rsidTr="00721035">
        <w:trPr>
          <w:jc w:val="center"/>
        </w:trPr>
        <w:tc>
          <w:tcPr>
            <w:tcW w:w="452" w:type="dxa"/>
          </w:tcPr>
          <w:p w:rsidR="00012BD1" w:rsidRPr="009C4792" w:rsidRDefault="00012BD1" w:rsidP="009C4792">
            <w:pPr>
              <w:spacing w:line="276" w:lineRule="auto"/>
              <w:jc w:val="both"/>
              <w:rPr>
                <w:iCs/>
                <w:color w:val="000000"/>
                <w:szCs w:val="22"/>
              </w:rPr>
            </w:pPr>
            <w:r w:rsidRPr="009C4792">
              <w:rPr>
                <w:iCs/>
                <w:color w:val="000000"/>
                <w:szCs w:val="22"/>
              </w:rPr>
              <w:t>6</w:t>
            </w:r>
          </w:p>
        </w:tc>
        <w:tc>
          <w:tcPr>
            <w:tcW w:w="2868" w:type="dxa"/>
          </w:tcPr>
          <w:p w:rsidR="00012BD1" w:rsidRPr="009C4792" w:rsidRDefault="00012BD1" w:rsidP="00721035">
            <w:pPr>
              <w:spacing w:line="276" w:lineRule="auto"/>
              <w:jc w:val="both"/>
              <w:rPr>
                <w:iCs/>
                <w:color w:val="000000"/>
                <w:szCs w:val="22"/>
              </w:rPr>
            </w:pPr>
            <w:r w:rsidRPr="009C4792">
              <w:rPr>
                <w:iCs/>
                <w:color w:val="000000"/>
                <w:szCs w:val="22"/>
              </w:rPr>
              <w:t>Through</w:t>
            </w:r>
            <w:r w:rsidR="00721035">
              <w:rPr>
                <w:iCs/>
                <w:color w:val="000000"/>
                <w:szCs w:val="22"/>
              </w:rPr>
              <w:t>p</w:t>
            </w:r>
            <w:r w:rsidRPr="009C4792">
              <w:rPr>
                <w:iCs/>
                <w:color w:val="000000"/>
                <w:szCs w:val="22"/>
              </w:rPr>
              <w:t>ut</w:t>
            </w:r>
          </w:p>
        </w:tc>
        <w:tc>
          <w:tcPr>
            <w:tcW w:w="1086" w:type="dxa"/>
          </w:tcPr>
          <w:p w:rsidR="00012BD1" w:rsidRPr="009C4792" w:rsidRDefault="00F76043" w:rsidP="009C4792">
            <w:pPr>
              <w:spacing w:line="276" w:lineRule="auto"/>
              <w:rPr>
                <w:iCs/>
                <w:color w:val="000000"/>
                <w:szCs w:val="22"/>
              </w:rPr>
            </w:pPr>
            <w:r w:rsidRPr="009C4792">
              <w:rPr>
                <w:iCs/>
                <w:color w:val="000000"/>
                <w:szCs w:val="22"/>
              </w:rPr>
              <w:t>62</w:t>
            </w:r>
          </w:p>
        </w:tc>
        <w:tc>
          <w:tcPr>
            <w:tcW w:w="1134" w:type="dxa"/>
          </w:tcPr>
          <w:p w:rsidR="00012BD1" w:rsidRPr="009C4792" w:rsidRDefault="00F76043" w:rsidP="009C4792">
            <w:pPr>
              <w:spacing w:line="276" w:lineRule="auto"/>
              <w:rPr>
                <w:iCs/>
                <w:color w:val="000000"/>
                <w:szCs w:val="22"/>
              </w:rPr>
            </w:pPr>
            <w:r w:rsidRPr="009C4792">
              <w:rPr>
                <w:iCs/>
                <w:color w:val="000000"/>
                <w:szCs w:val="22"/>
              </w:rPr>
              <w:t>67</w:t>
            </w:r>
          </w:p>
        </w:tc>
        <w:tc>
          <w:tcPr>
            <w:tcW w:w="1234" w:type="dxa"/>
          </w:tcPr>
          <w:p w:rsidR="00012BD1" w:rsidRPr="009C4792" w:rsidRDefault="00F76043" w:rsidP="009C4792">
            <w:pPr>
              <w:spacing w:line="276" w:lineRule="auto"/>
              <w:rPr>
                <w:iCs/>
                <w:color w:val="000000"/>
                <w:szCs w:val="22"/>
              </w:rPr>
            </w:pPr>
            <w:r w:rsidRPr="009C4792">
              <w:rPr>
                <w:iCs/>
                <w:color w:val="000000"/>
                <w:szCs w:val="22"/>
              </w:rPr>
              <w:t>67</w:t>
            </w:r>
          </w:p>
        </w:tc>
      </w:tr>
    </w:tbl>
    <w:p w:rsidR="00F76043" w:rsidRDefault="00F76043" w:rsidP="00CF7FB5">
      <w:pPr>
        <w:autoSpaceDE w:val="0"/>
        <w:autoSpaceDN w:val="0"/>
        <w:adjustRightInd w:val="0"/>
        <w:spacing w:line="360" w:lineRule="auto"/>
        <w:jc w:val="both"/>
        <w:rPr>
          <w:rFonts w:ascii="Times New Roman" w:hAnsi="Times New Roman"/>
          <w:sz w:val="24"/>
        </w:rPr>
      </w:pPr>
    </w:p>
    <w:p w:rsidR="00F76043" w:rsidRPr="001D79BD" w:rsidRDefault="00F76043" w:rsidP="001D79BD">
      <w:pPr>
        <w:autoSpaceDE w:val="0"/>
        <w:autoSpaceDN w:val="0"/>
        <w:adjustRightInd w:val="0"/>
        <w:spacing w:line="276" w:lineRule="auto"/>
        <w:jc w:val="both"/>
        <w:rPr>
          <w:rFonts w:ascii="Times New Roman" w:hAnsi="Times New Roman"/>
          <w:szCs w:val="22"/>
        </w:rPr>
      </w:pPr>
      <w:r w:rsidRPr="001D79BD">
        <w:rPr>
          <w:rFonts w:ascii="Times New Roman" w:hAnsi="Times New Roman"/>
          <w:szCs w:val="22"/>
        </w:rPr>
        <w:t xml:space="preserve">This consistency in the throughput (in 2011 and 2012) is </w:t>
      </w:r>
      <w:r w:rsidR="00BE0617">
        <w:rPr>
          <w:rFonts w:ascii="Times New Roman" w:hAnsi="Times New Roman"/>
          <w:szCs w:val="22"/>
        </w:rPr>
        <w:t>as a result of</w:t>
      </w:r>
      <w:r w:rsidRPr="001D79BD">
        <w:rPr>
          <w:rFonts w:ascii="Times New Roman" w:hAnsi="Times New Roman"/>
          <w:szCs w:val="22"/>
        </w:rPr>
        <w:t xml:space="preserve"> the average semester mark of the year 2012 is 59%; </w:t>
      </w:r>
      <w:r w:rsidR="00BE0617">
        <w:rPr>
          <w:rFonts w:ascii="Times New Roman" w:hAnsi="Times New Roman"/>
          <w:szCs w:val="22"/>
        </w:rPr>
        <w:t xml:space="preserve">which is </w:t>
      </w:r>
      <w:r w:rsidRPr="001D79BD">
        <w:rPr>
          <w:rFonts w:ascii="Times New Roman" w:hAnsi="Times New Roman"/>
          <w:szCs w:val="22"/>
        </w:rPr>
        <w:t>a bit higher than those obtained from the other two years whilst keeping the exam mark comparable with those in the previous years. It is rather important to note that the module pass rate</w:t>
      </w:r>
      <w:r w:rsidR="00BE0617">
        <w:rPr>
          <w:rFonts w:ascii="Times New Roman" w:hAnsi="Times New Roman"/>
          <w:szCs w:val="22"/>
        </w:rPr>
        <w:t xml:space="preserve"> obtained from the years 2011 and 2012</w:t>
      </w:r>
      <w:r w:rsidRPr="001D79BD">
        <w:rPr>
          <w:rFonts w:ascii="Times New Roman" w:hAnsi="Times New Roman"/>
          <w:szCs w:val="22"/>
        </w:rPr>
        <w:t xml:space="preserve"> is </w:t>
      </w:r>
      <w:r w:rsidR="00BE0617">
        <w:rPr>
          <w:rFonts w:ascii="Times New Roman" w:hAnsi="Times New Roman"/>
          <w:szCs w:val="22"/>
        </w:rPr>
        <w:t>≥</w:t>
      </w:r>
      <w:r w:rsidRPr="001D79BD">
        <w:rPr>
          <w:rFonts w:ascii="Times New Roman" w:hAnsi="Times New Roman"/>
          <w:szCs w:val="22"/>
        </w:rPr>
        <w:t xml:space="preserve"> 70% </w:t>
      </w:r>
      <w:r w:rsidR="00BE0617">
        <w:rPr>
          <w:rFonts w:ascii="Times New Roman" w:hAnsi="Times New Roman"/>
          <w:szCs w:val="22"/>
        </w:rPr>
        <w:t xml:space="preserve">(obtained in 2010) </w:t>
      </w:r>
      <w:r w:rsidRPr="001D79BD">
        <w:rPr>
          <w:rFonts w:ascii="Times New Roman" w:hAnsi="Times New Roman"/>
          <w:szCs w:val="22"/>
        </w:rPr>
        <w:t xml:space="preserve">which is a good indication of the success of the program. The minimum of 70% obtained in 2010 as opposed to 78% and 76% obtained in 2011 and 2012, respectively, is achieved due to time spent in the program (term (2010) and semester (2011 and 2012)). The </w:t>
      </w:r>
      <w:r w:rsidR="00E4651B">
        <w:rPr>
          <w:rFonts w:ascii="Times New Roman" w:hAnsi="Times New Roman"/>
          <w:szCs w:val="22"/>
        </w:rPr>
        <w:t>histogram in F</w:t>
      </w:r>
      <w:r w:rsidRPr="001D79BD">
        <w:rPr>
          <w:rFonts w:ascii="Times New Roman" w:hAnsi="Times New Roman"/>
          <w:szCs w:val="22"/>
        </w:rPr>
        <w:t xml:space="preserve">igure </w:t>
      </w:r>
      <w:proofErr w:type="gramStart"/>
      <w:r w:rsidR="00BE0617">
        <w:rPr>
          <w:rFonts w:ascii="Times New Roman" w:hAnsi="Times New Roman"/>
          <w:szCs w:val="22"/>
        </w:rPr>
        <w:t>1,</w:t>
      </w:r>
      <w:proofErr w:type="gramEnd"/>
      <w:r w:rsidR="00BE0617">
        <w:rPr>
          <w:rFonts w:ascii="Times New Roman" w:hAnsi="Times New Roman"/>
          <w:szCs w:val="22"/>
        </w:rPr>
        <w:t xml:space="preserve"> </w:t>
      </w:r>
      <w:r w:rsidRPr="001D79BD">
        <w:rPr>
          <w:rFonts w:ascii="Times New Roman" w:hAnsi="Times New Roman"/>
          <w:szCs w:val="22"/>
        </w:rPr>
        <w:t xml:space="preserve">graphically represents these data and it is clear that there is </w:t>
      </w:r>
      <w:r w:rsidR="00BE0617">
        <w:rPr>
          <w:rFonts w:ascii="Times New Roman" w:hAnsi="Times New Roman"/>
          <w:szCs w:val="22"/>
        </w:rPr>
        <w:t>a</w:t>
      </w:r>
      <w:r w:rsidRPr="001D79BD">
        <w:rPr>
          <w:rFonts w:ascii="Times New Roman" w:hAnsi="Times New Roman"/>
          <w:szCs w:val="22"/>
        </w:rPr>
        <w:t xml:space="preserve"> correlation between the duration of FPP</w:t>
      </w:r>
      <w:r w:rsidR="00BE0617">
        <w:rPr>
          <w:rFonts w:ascii="Times New Roman" w:hAnsi="Times New Roman"/>
          <w:szCs w:val="22"/>
        </w:rPr>
        <w:t xml:space="preserve"> (three months)</w:t>
      </w:r>
      <w:r w:rsidRPr="001D79BD">
        <w:rPr>
          <w:rFonts w:ascii="Times New Roman" w:hAnsi="Times New Roman"/>
          <w:szCs w:val="22"/>
        </w:rPr>
        <w:t xml:space="preserve"> and the performance of the students. The </w:t>
      </w:r>
      <w:proofErr w:type="gramStart"/>
      <w:r w:rsidRPr="001D79BD">
        <w:rPr>
          <w:rFonts w:ascii="Times New Roman" w:hAnsi="Times New Roman"/>
          <w:szCs w:val="22"/>
        </w:rPr>
        <w:t>introduction of mathematical concepts within the physics context are</w:t>
      </w:r>
      <w:proofErr w:type="gramEnd"/>
      <w:r w:rsidRPr="001D79BD">
        <w:rPr>
          <w:rFonts w:ascii="Times New Roman" w:hAnsi="Times New Roman"/>
          <w:szCs w:val="22"/>
        </w:rPr>
        <w:t xml:space="preserve"> presumed to be beneficial towards the understanding of the physics at this level. This is an indication that pure basic mathematics concepts </w:t>
      </w:r>
      <w:r w:rsidR="00EE3224">
        <w:rPr>
          <w:rFonts w:ascii="Times New Roman" w:hAnsi="Times New Roman"/>
          <w:szCs w:val="22"/>
        </w:rPr>
        <w:t xml:space="preserve">(which initially involved pure algebra and basic trigonometry) </w:t>
      </w:r>
      <w:r w:rsidRPr="001D79BD">
        <w:rPr>
          <w:rFonts w:ascii="Times New Roman" w:hAnsi="Times New Roman"/>
          <w:szCs w:val="22"/>
        </w:rPr>
        <w:t>are not a</w:t>
      </w:r>
      <w:r w:rsidR="00097971">
        <w:rPr>
          <w:rFonts w:ascii="Times New Roman" w:hAnsi="Times New Roman"/>
          <w:szCs w:val="22"/>
        </w:rPr>
        <w:t xml:space="preserve"> direct</w:t>
      </w:r>
      <w:r w:rsidRPr="001D79BD">
        <w:rPr>
          <w:rFonts w:ascii="Times New Roman" w:hAnsi="Times New Roman"/>
          <w:szCs w:val="22"/>
        </w:rPr>
        <w:t xml:space="preserve"> necessity in bringing the understanding of the physics</w:t>
      </w:r>
      <w:r w:rsidR="00097971">
        <w:rPr>
          <w:rFonts w:ascii="Times New Roman" w:hAnsi="Times New Roman"/>
          <w:szCs w:val="22"/>
        </w:rPr>
        <w:t xml:space="preserve"> concepts</w:t>
      </w:r>
      <w:r w:rsidRPr="001D79BD">
        <w:rPr>
          <w:rFonts w:ascii="Times New Roman" w:hAnsi="Times New Roman"/>
          <w:szCs w:val="22"/>
        </w:rPr>
        <w:t>, but a strategy</w:t>
      </w:r>
      <w:r w:rsidR="00EE3224">
        <w:rPr>
          <w:rFonts w:ascii="Times New Roman" w:hAnsi="Times New Roman"/>
          <w:szCs w:val="22"/>
        </w:rPr>
        <w:t xml:space="preserve"> of incorporating necessary mathematics within the physics content</w:t>
      </w:r>
      <w:r w:rsidRPr="001D79BD">
        <w:rPr>
          <w:rFonts w:ascii="Times New Roman" w:hAnsi="Times New Roman"/>
          <w:szCs w:val="22"/>
        </w:rPr>
        <w:t xml:space="preserve"> </w:t>
      </w:r>
      <w:r w:rsidR="00EE3224">
        <w:rPr>
          <w:rFonts w:ascii="Times New Roman" w:hAnsi="Times New Roman"/>
          <w:szCs w:val="22"/>
        </w:rPr>
        <w:t xml:space="preserve">are </w:t>
      </w:r>
      <w:r w:rsidR="00097971">
        <w:rPr>
          <w:rFonts w:ascii="Times New Roman" w:hAnsi="Times New Roman"/>
          <w:szCs w:val="22"/>
        </w:rPr>
        <w:t xml:space="preserve">a </w:t>
      </w:r>
      <w:r w:rsidR="00EE3224">
        <w:rPr>
          <w:rFonts w:ascii="Times New Roman" w:hAnsi="Times New Roman"/>
          <w:szCs w:val="22"/>
        </w:rPr>
        <w:t>necessary</w:t>
      </w:r>
      <w:r w:rsidRPr="001D79BD">
        <w:rPr>
          <w:rFonts w:ascii="Times New Roman" w:hAnsi="Times New Roman"/>
          <w:szCs w:val="22"/>
        </w:rPr>
        <w:t xml:space="preserve"> tools to tackle phys</w:t>
      </w:r>
      <w:r w:rsidR="00EE3224">
        <w:rPr>
          <w:rFonts w:ascii="Times New Roman" w:hAnsi="Times New Roman"/>
          <w:szCs w:val="22"/>
        </w:rPr>
        <w:t>ics related problems</w:t>
      </w:r>
      <w:r w:rsidRPr="001D79BD">
        <w:rPr>
          <w:rFonts w:ascii="Times New Roman" w:hAnsi="Times New Roman"/>
          <w:szCs w:val="22"/>
        </w:rPr>
        <w:t>. Despite the difference in the throughput and the module pass rate obtained in respective years, it is observed that the average final exam mark (≈ 52%) and average module mark (≈ 50%) are constant throughout this three year duration.</w:t>
      </w:r>
    </w:p>
    <w:p w:rsidR="00AB78F3" w:rsidRDefault="00234BC1" w:rsidP="00AB78F3">
      <w:pPr>
        <w:spacing w:line="276" w:lineRule="auto"/>
        <w:jc w:val="center"/>
        <w:rPr>
          <w:rFonts w:ascii="Times New Roman" w:hAnsi="Times New Roman"/>
          <w:sz w:val="24"/>
        </w:rPr>
      </w:pPr>
      <w:r>
        <w:object w:dxaOrig="12589" w:dyaOrig="9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255pt" o:ole="">
            <v:imagedata r:id="rId10" o:title=""/>
          </v:shape>
          <o:OLEObject Type="Embed" ProgID="SigmaPlotGraphicObject.10" ShapeID="_x0000_i1025" DrawAspect="Content" ObjectID="_1478485931" r:id="rId11"/>
        </w:object>
      </w:r>
    </w:p>
    <w:p w:rsidR="00AB78F3" w:rsidRDefault="00AB78F3" w:rsidP="00AB78F3">
      <w:pPr>
        <w:spacing w:before="31" w:line="247" w:lineRule="auto"/>
        <w:ind w:left="3006" w:right="197" w:hanging="2736"/>
        <w:jc w:val="both"/>
        <w:rPr>
          <w:rFonts w:ascii="Times New Roman" w:hAnsi="Times New Roman"/>
          <w:b/>
          <w:spacing w:val="-3"/>
          <w:szCs w:val="22"/>
        </w:rPr>
      </w:pPr>
    </w:p>
    <w:p w:rsidR="00AB78F3" w:rsidRDefault="00AB78F3" w:rsidP="00600A51">
      <w:pPr>
        <w:spacing w:before="31" w:line="276" w:lineRule="auto"/>
        <w:ind w:left="3006" w:right="197" w:hanging="2736"/>
        <w:jc w:val="center"/>
        <w:rPr>
          <w:rFonts w:ascii="Times New Roman" w:hAnsi="Times New Roman"/>
          <w:spacing w:val="10"/>
          <w:szCs w:val="22"/>
        </w:rPr>
      </w:pPr>
      <w:r w:rsidRPr="00AB78F3">
        <w:rPr>
          <w:rFonts w:ascii="Times New Roman" w:hAnsi="Times New Roman"/>
          <w:b/>
          <w:spacing w:val="-3"/>
          <w:szCs w:val="22"/>
        </w:rPr>
        <w:t>F</w:t>
      </w:r>
      <w:r w:rsidRPr="00AB78F3">
        <w:rPr>
          <w:rFonts w:ascii="Times New Roman" w:hAnsi="Times New Roman"/>
          <w:b/>
          <w:szCs w:val="22"/>
        </w:rPr>
        <w:t>i</w:t>
      </w:r>
      <w:r w:rsidRPr="00AB78F3">
        <w:rPr>
          <w:rFonts w:ascii="Times New Roman" w:hAnsi="Times New Roman"/>
          <w:b/>
          <w:spacing w:val="-1"/>
          <w:szCs w:val="22"/>
        </w:rPr>
        <w:t>gu</w:t>
      </w:r>
      <w:r w:rsidRPr="00AB78F3">
        <w:rPr>
          <w:rFonts w:ascii="Times New Roman" w:hAnsi="Times New Roman"/>
          <w:b/>
          <w:szCs w:val="22"/>
        </w:rPr>
        <w:t>re</w:t>
      </w:r>
      <w:r w:rsidRPr="00AB78F3">
        <w:rPr>
          <w:rFonts w:ascii="Times New Roman" w:hAnsi="Times New Roman"/>
          <w:b/>
          <w:spacing w:val="15"/>
          <w:szCs w:val="22"/>
        </w:rPr>
        <w:t xml:space="preserve"> </w:t>
      </w:r>
      <w:r w:rsidRPr="00AB78F3">
        <w:rPr>
          <w:rFonts w:ascii="Times New Roman" w:hAnsi="Times New Roman"/>
          <w:b/>
          <w:spacing w:val="-1"/>
          <w:szCs w:val="22"/>
        </w:rPr>
        <w:t>1</w:t>
      </w:r>
      <w:r w:rsidRPr="00AB78F3">
        <w:rPr>
          <w:rFonts w:ascii="Times New Roman" w:hAnsi="Times New Roman"/>
          <w:szCs w:val="22"/>
        </w:rPr>
        <w:t>:</w:t>
      </w:r>
      <w:r w:rsidRPr="00AB78F3">
        <w:rPr>
          <w:rFonts w:ascii="Times New Roman" w:hAnsi="Times New Roman"/>
          <w:spacing w:val="10"/>
          <w:szCs w:val="22"/>
        </w:rPr>
        <w:t xml:space="preserve"> </w:t>
      </w:r>
      <w:r>
        <w:rPr>
          <w:rFonts w:ascii="Times New Roman" w:hAnsi="Times New Roman"/>
          <w:spacing w:val="10"/>
          <w:szCs w:val="22"/>
        </w:rPr>
        <w:t>A histogram representing students’ marks distribution in percentages of the</w:t>
      </w:r>
    </w:p>
    <w:p w:rsidR="00AB78F3" w:rsidRPr="00AB78F3" w:rsidRDefault="00AB78F3" w:rsidP="00600A51">
      <w:pPr>
        <w:spacing w:before="31" w:line="276" w:lineRule="auto"/>
        <w:ind w:left="3006" w:right="197" w:hanging="2736"/>
        <w:jc w:val="center"/>
        <w:rPr>
          <w:rFonts w:ascii="Times New Roman" w:hAnsi="Times New Roman"/>
          <w:spacing w:val="10"/>
          <w:szCs w:val="22"/>
        </w:rPr>
      </w:pPr>
      <w:proofErr w:type="gramStart"/>
      <w:r>
        <w:rPr>
          <w:rFonts w:ascii="Times New Roman" w:hAnsi="Times New Roman"/>
          <w:spacing w:val="10"/>
          <w:szCs w:val="22"/>
        </w:rPr>
        <w:t>total</w:t>
      </w:r>
      <w:proofErr w:type="gramEnd"/>
      <w:r>
        <w:rPr>
          <w:rFonts w:ascii="Times New Roman" w:hAnsi="Times New Roman"/>
          <w:spacing w:val="10"/>
          <w:szCs w:val="22"/>
        </w:rPr>
        <w:t xml:space="preserve"> contribution towards students’ promotion, for 2010, 2011 and 2012, respectively.</w:t>
      </w:r>
    </w:p>
    <w:p w:rsidR="00AB78F3" w:rsidRDefault="00AB78F3" w:rsidP="00CF7FB5">
      <w:pPr>
        <w:autoSpaceDE w:val="0"/>
        <w:autoSpaceDN w:val="0"/>
        <w:adjustRightInd w:val="0"/>
        <w:spacing w:line="360" w:lineRule="auto"/>
        <w:jc w:val="both"/>
        <w:rPr>
          <w:rFonts w:ascii="Times New Roman" w:hAnsi="Times New Roman"/>
          <w:sz w:val="24"/>
        </w:rPr>
      </w:pPr>
    </w:p>
    <w:p w:rsidR="004079EC" w:rsidRDefault="00234BC1" w:rsidP="004079EC">
      <w:pPr>
        <w:autoSpaceDE w:val="0"/>
        <w:autoSpaceDN w:val="0"/>
        <w:adjustRightInd w:val="0"/>
        <w:spacing w:line="360" w:lineRule="auto"/>
        <w:jc w:val="center"/>
      </w:pPr>
      <w:r>
        <w:object w:dxaOrig="12349" w:dyaOrig="9158">
          <v:shape id="_x0000_i1026" type="#_x0000_t75" style="width:344.25pt;height:255pt" o:ole="">
            <v:imagedata r:id="rId12" o:title=""/>
          </v:shape>
          <o:OLEObject Type="Embed" ProgID="SigmaPlotGraphicObject.10" ShapeID="_x0000_i1026" DrawAspect="Content" ObjectID="_1478485932" r:id="rId13"/>
        </w:object>
      </w:r>
    </w:p>
    <w:p w:rsidR="00AB78F3" w:rsidRDefault="001D79BD" w:rsidP="001D79BD">
      <w:pPr>
        <w:spacing w:before="31" w:line="276" w:lineRule="auto"/>
        <w:ind w:left="3006" w:right="197" w:hanging="2736"/>
        <w:rPr>
          <w:rFonts w:ascii="Times New Roman" w:hAnsi="Times New Roman"/>
          <w:sz w:val="20"/>
        </w:rPr>
      </w:pPr>
      <w:r w:rsidRPr="00AB78F3">
        <w:rPr>
          <w:rFonts w:ascii="Times New Roman" w:hAnsi="Times New Roman"/>
          <w:b/>
          <w:spacing w:val="-3"/>
          <w:szCs w:val="22"/>
        </w:rPr>
        <w:t>F</w:t>
      </w:r>
      <w:r w:rsidRPr="00AB78F3">
        <w:rPr>
          <w:rFonts w:ascii="Times New Roman" w:hAnsi="Times New Roman"/>
          <w:b/>
          <w:szCs w:val="22"/>
        </w:rPr>
        <w:t>i</w:t>
      </w:r>
      <w:r w:rsidRPr="00AB78F3">
        <w:rPr>
          <w:rFonts w:ascii="Times New Roman" w:hAnsi="Times New Roman"/>
          <w:b/>
          <w:spacing w:val="-1"/>
          <w:szCs w:val="22"/>
        </w:rPr>
        <w:t>gu</w:t>
      </w:r>
      <w:r w:rsidRPr="00AB78F3">
        <w:rPr>
          <w:rFonts w:ascii="Times New Roman" w:hAnsi="Times New Roman"/>
          <w:b/>
          <w:szCs w:val="22"/>
        </w:rPr>
        <w:t>re</w:t>
      </w:r>
      <w:r w:rsidRPr="00AB78F3">
        <w:rPr>
          <w:rFonts w:ascii="Times New Roman" w:hAnsi="Times New Roman"/>
          <w:b/>
          <w:spacing w:val="15"/>
          <w:szCs w:val="22"/>
        </w:rPr>
        <w:t xml:space="preserve"> </w:t>
      </w:r>
      <w:r>
        <w:rPr>
          <w:rFonts w:ascii="Times New Roman" w:hAnsi="Times New Roman"/>
          <w:b/>
          <w:spacing w:val="-1"/>
          <w:szCs w:val="22"/>
        </w:rPr>
        <w:t>2</w:t>
      </w:r>
      <w:r w:rsidRPr="00AB78F3">
        <w:rPr>
          <w:rFonts w:ascii="Times New Roman" w:hAnsi="Times New Roman"/>
          <w:szCs w:val="22"/>
        </w:rPr>
        <w:t>:</w:t>
      </w:r>
      <w:r w:rsidRPr="00AB78F3">
        <w:rPr>
          <w:rFonts w:ascii="Times New Roman" w:hAnsi="Times New Roman"/>
          <w:spacing w:val="10"/>
          <w:szCs w:val="22"/>
        </w:rPr>
        <w:t xml:space="preserve"> </w:t>
      </w:r>
      <w:r>
        <w:rPr>
          <w:rFonts w:ascii="Times New Roman" w:hAnsi="Times New Roman"/>
          <w:spacing w:val="10"/>
          <w:szCs w:val="22"/>
        </w:rPr>
        <w:t xml:space="preserve">A histogram representing students’ marks distribution for 2010, 2011 and 2012, respectively. </w:t>
      </w:r>
    </w:p>
    <w:p w:rsidR="00AB78F3" w:rsidRDefault="00AB78F3" w:rsidP="004079EC">
      <w:pPr>
        <w:autoSpaceDE w:val="0"/>
        <w:autoSpaceDN w:val="0"/>
        <w:adjustRightInd w:val="0"/>
        <w:spacing w:line="360" w:lineRule="auto"/>
        <w:jc w:val="center"/>
        <w:rPr>
          <w:rFonts w:ascii="Times New Roman" w:hAnsi="Times New Roman"/>
          <w:sz w:val="24"/>
        </w:rPr>
      </w:pPr>
    </w:p>
    <w:p w:rsidR="00097971" w:rsidRDefault="00097971" w:rsidP="004079EC">
      <w:pPr>
        <w:autoSpaceDE w:val="0"/>
        <w:autoSpaceDN w:val="0"/>
        <w:adjustRightInd w:val="0"/>
        <w:spacing w:line="360" w:lineRule="auto"/>
        <w:jc w:val="center"/>
        <w:rPr>
          <w:rFonts w:ascii="Times New Roman" w:hAnsi="Times New Roman"/>
          <w:sz w:val="24"/>
        </w:rPr>
      </w:pPr>
    </w:p>
    <w:p w:rsidR="00097971" w:rsidRDefault="00097971" w:rsidP="004079EC">
      <w:pPr>
        <w:autoSpaceDE w:val="0"/>
        <w:autoSpaceDN w:val="0"/>
        <w:adjustRightInd w:val="0"/>
        <w:spacing w:line="360" w:lineRule="auto"/>
        <w:jc w:val="center"/>
        <w:rPr>
          <w:rFonts w:ascii="Times New Roman" w:hAnsi="Times New Roman"/>
          <w:sz w:val="24"/>
        </w:rPr>
      </w:pPr>
    </w:p>
    <w:p w:rsidR="007F36E3" w:rsidRDefault="007F36E3" w:rsidP="001D79BD">
      <w:pPr>
        <w:autoSpaceDE w:val="0"/>
        <w:autoSpaceDN w:val="0"/>
        <w:adjustRightInd w:val="0"/>
        <w:spacing w:line="276" w:lineRule="auto"/>
        <w:jc w:val="both"/>
        <w:rPr>
          <w:rFonts w:ascii="Times New Roman" w:hAnsi="Times New Roman"/>
          <w:sz w:val="24"/>
        </w:rPr>
      </w:pPr>
      <w:r>
        <w:rPr>
          <w:rFonts w:ascii="Times New Roman" w:hAnsi="Times New Roman"/>
          <w:sz w:val="24"/>
        </w:rPr>
        <w:t xml:space="preserve">Table 3: </w:t>
      </w:r>
      <w:r w:rsidR="00097971">
        <w:rPr>
          <w:rFonts w:ascii="Times New Roman" w:hAnsi="Times New Roman"/>
          <w:sz w:val="24"/>
        </w:rPr>
        <w:t>D</w:t>
      </w:r>
      <w:r w:rsidRPr="007F36E3">
        <w:rPr>
          <w:rFonts w:ascii="Times New Roman" w:hAnsi="Times New Roman"/>
          <w:sz w:val="24"/>
        </w:rPr>
        <w:t>istri</w:t>
      </w:r>
      <w:r w:rsidR="00E4651B">
        <w:rPr>
          <w:rFonts w:ascii="Times New Roman" w:hAnsi="Times New Roman"/>
          <w:sz w:val="24"/>
        </w:rPr>
        <w:t>bution of students' performance in the final examinations during</w:t>
      </w:r>
      <w:r w:rsidRPr="007F36E3">
        <w:rPr>
          <w:rFonts w:ascii="Times New Roman" w:hAnsi="Times New Roman"/>
          <w:sz w:val="24"/>
        </w:rPr>
        <w:t xml:space="preserve"> the years 2010, 2011 and 2012; data represented in percentage</w:t>
      </w:r>
      <w:r>
        <w:rPr>
          <w:rFonts w:ascii="Times New Roman" w:hAnsi="Times New Roman"/>
          <w:sz w:val="24"/>
        </w:rPr>
        <w:t>.</w:t>
      </w:r>
    </w:p>
    <w:p w:rsidR="00721035" w:rsidRDefault="00721035" w:rsidP="001D79BD">
      <w:pPr>
        <w:autoSpaceDE w:val="0"/>
        <w:autoSpaceDN w:val="0"/>
        <w:adjustRightInd w:val="0"/>
        <w:spacing w:line="276" w:lineRule="auto"/>
        <w:jc w:val="both"/>
        <w:rPr>
          <w:rFonts w:ascii="Times New Roman" w:hAnsi="Times New Roman"/>
          <w:sz w:val="24"/>
        </w:rPr>
      </w:pPr>
    </w:p>
    <w:tbl>
      <w:tblPr>
        <w:tblW w:w="5161" w:type="dxa"/>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009"/>
        <w:gridCol w:w="1276"/>
        <w:gridCol w:w="1134"/>
        <w:gridCol w:w="1134"/>
      </w:tblGrid>
      <w:tr w:rsidR="00600A51" w:rsidRPr="006068DD" w:rsidTr="00600A51">
        <w:trPr>
          <w:jc w:val="center"/>
        </w:trPr>
        <w:tc>
          <w:tcPr>
            <w:tcW w:w="608" w:type="dxa"/>
          </w:tcPr>
          <w:p w:rsidR="007F36E3" w:rsidRPr="006068DD" w:rsidRDefault="007F36E3" w:rsidP="00097971">
            <w:pPr>
              <w:spacing w:line="276" w:lineRule="auto"/>
              <w:jc w:val="center"/>
              <w:rPr>
                <w:b/>
                <w:iCs/>
                <w:color w:val="000000"/>
                <w:szCs w:val="22"/>
              </w:rPr>
            </w:pPr>
          </w:p>
        </w:tc>
        <w:tc>
          <w:tcPr>
            <w:tcW w:w="1009" w:type="dxa"/>
          </w:tcPr>
          <w:p w:rsidR="007F36E3" w:rsidRPr="006068DD" w:rsidRDefault="007F36E3" w:rsidP="00097971">
            <w:pPr>
              <w:spacing w:line="276" w:lineRule="auto"/>
              <w:jc w:val="center"/>
              <w:rPr>
                <w:b/>
                <w:iCs/>
                <w:color w:val="000000"/>
                <w:szCs w:val="22"/>
              </w:rPr>
            </w:pPr>
          </w:p>
        </w:tc>
        <w:tc>
          <w:tcPr>
            <w:tcW w:w="1276" w:type="dxa"/>
          </w:tcPr>
          <w:p w:rsidR="007F36E3" w:rsidRPr="006068DD" w:rsidRDefault="007F36E3" w:rsidP="00097971">
            <w:pPr>
              <w:spacing w:line="276" w:lineRule="auto"/>
              <w:rPr>
                <w:b/>
                <w:iCs/>
                <w:color w:val="000000"/>
                <w:szCs w:val="22"/>
              </w:rPr>
            </w:pPr>
            <w:r w:rsidRPr="006068DD">
              <w:rPr>
                <w:b/>
                <w:iCs/>
                <w:color w:val="000000"/>
                <w:szCs w:val="22"/>
              </w:rPr>
              <w:t>2010</w:t>
            </w:r>
            <w:r w:rsidR="006068DD" w:rsidRPr="006068DD">
              <w:rPr>
                <w:b/>
                <w:iCs/>
                <w:color w:val="000000"/>
                <w:szCs w:val="22"/>
              </w:rPr>
              <w:t xml:space="preserve"> (%)</w:t>
            </w:r>
          </w:p>
        </w:tc>
        <w:tc>
          <w:tcPr>
            <w:tcW w:w="1134" w:type="dxa"/>
          </w:tcPr>
          <w:p w:rsidR="007F36E3" w:rsidRPr="006068DD" w:rsidRDefault="007F36E3" w:rsidP="00097971">
            <w:pPr>
              <w:spacing w:line="276" w:lineRule="auto"/>
              <w:rPr>
                <w:b/>
                <w:iCs/>
                <w:color w:val="000000"/>
                <w:szCs w:val="22"/>
              </w:rPr>
            </w:pPr>
            <w:r w:rsidRPr="006068DD">
              <w:rPr>
                <w:b/>
                <w:iCs/>
                <w:color w:val="000000"/>
                <w:szCs w:val="22"/>
              </w:rPr>
              <w:t>2011</w:t>
            </w:r>
            <w:r w:rsidR="006068DD" w:rsidRPr="006068DD">
              <w:rPr>
                <w:b/>
                <w:iCs/>
                <w:color w:val="000000"/>
                <w:szCs w:val="22"/>
              </w:rPr>
              <w:t xml:space="preserve"> (%)</w:t>
            </w:r>
          </w:p>
        </w:tc>
        <w:tc>
          <w:tcPr>
            <w:tcW w:w="1134" w:type="dxa"/>
          </w:tcPr>
          <w:p w:rsidR="007F36E3" w:rsidRPr="006068DD" w:rsidRDefault="007F36E3" w:rsidP="00600A51">
            <w:pPr>
              <w:spacing w:line="276" w:lineRule="auto"/>
              <w:rPr>
                <w:b/>
                <w:iCs/>
                <w:color w:val="000000"/>
                <w:szCs w:val="22"/>
              </w:rPr>
            </w:pPr>
            <w:r w:rsidRPr="006068DD">
              <w:rPr>
                <w:b/>
                <w:iCs/>
                <w:color w:val="000000"/>
                <w:szCs w:val="22"/>
              </w:rPr>
              <w:t>2012</w:t>
            </w:r>
            <w:r w:rsidR="006068DD" w:rsidRPr="006068DD">
              <w:rPr>
                <w:b/>
                <w:iCs/>
                <w:color w:val="000000"/>
                <w:szCs w:val="22"/>
              </w:rPr>
              <w:t xml:space="preserve"> </w:t>
            </w:r>
            <w:r w:rsidR="00600A51">
              <w:rPr>
                <w:b/>
                <w:iCs/>
                <w:color w:val="000000"/>
                <w:szCs w:val="22"/>
              </w:rPr>
              <w:t>(</w:t>
            </w:r>
            <w:r w:rsidR="006068DD" w:rsidRPr="006068DD">
              <w:rPr>
                <w:b/>
                <w:iCs/>
                <w:color w:val="000000"/>
                <w:szCs w:val="22"/>
              </w:rPr>
              <w:t>%)</w:t>
            </w:r>
          </w:p>
        </w:tc>
      </w:tr>
      <w:tr w:rsidR="00600A51" w:rsidTr="00600A51">
        <w:trPr>
          <w:jc w:val="center"/>
        </w:trPr>
        <w:tc>
          <w:tcPr>
            <w:tcW w:w="608" w:type="dxa"/>
          </w:tcPr>
          <w:p w:rsidR="007F36E3" w:rsidRDefault="007F36E3" w:rsidP="009C4792">
            <w:pPr>
              <w:spacing w:line="276" w:lineRule="auto"/>
              <w:jc w:val="both"/>
              <w:rPr>
                <w:iCs/>
                <w:color w:val="000000"/>
                <w:sz w:val="24"/>
                <w:szCs w:val="24"/>
              </w:rPr>
            </w:pPr>
            <w:r>
              <w:rPr>
                <w:iCs/>
                <w:color w:val="000000"/>
                <w:sz w:val="24"/>
                <w:szCs w:val="24"/>
              </w:rPr>
              <w:t>1</w:t>
            </w:r>
          </w:p>
        </w:tc>
        <w:tc>
          <w:tcPr>
            <w:tcW w:w="1009" w:type="dxa"/>
          </w:tcPr>
          <w:p w:rsidR="007F36E3" w:rsidRPr="00DB64DE" w:rsidRDefault="007F36E3" w:rsidP="009C4792">
            <w:pPr>
              <w:spacing w:line="276" w:lineRule="auto"/>
              <w:jc w:val="both"/>
              <w:rPr>
                <w:iCs/>
                <w:color w:val="000000"/>
                <w:sz w:val="24"/>
                <w:szCs w:val="24"/>
              </w:rPr>
            </w:pPr>
            <w:r>
              <w:rPr>
                <w:iCs/>
                <w:color w:val="000000"/>
                <w:sz w:val="24"/>
                <w:szCs w:val="24"/>
              </w:rPr>
              <w:t>0-19</w:t>
            </w:r>
          </w:p>
        </w:tc>
        <w:tc>
          <w:tcPr>
            <w:tcW w:w="1276" w:type="dxa"/>
          </w:tcPr>
          <w:p w:rsidR="007F36E3" w:rsidRPr="00DB64DE" w:rsidRDefault="007F36E3" w:rsidP="009C4792">
            <w:pPr>
              <w:spacing w:line="276" w:lineRule="auto"/>
              <w:rPr>
                <w:iCs/>
                <w:color w:val="000000"/>
                <w:sz w:val="24"/>
                <w:szCs w:val="24"/>
              </w:rPr>
            </w:pPr>
            <w:r>
              <w:rPr>
                <w:iCs/>
                <w:color w:val="000000"/>
                <w:sz w:val="24"/>
                <w:szCs w:val="24"/>
              </w:rPr>
              <w:t>9</w:t>
            </w:r>
          </w:p>
        </w:tc>
        <w:tc>
          <w:tcPr>
            <w:tcW w:w="1134" w:type="dxa"/>
          </w:tcPr>
          <w:p w:rsidR="007F36E3" w:rsidRPr="00DB64DE" w:rsidRDefault="007F36E3" w:rsidP="009C4792">
            <w:pPr>
              <w:spacing w:line="276" w:lineRule="auto"/>
              <w:rPr>
                <w:iCs/>
                <w:color w:val="000000"/>
                <w:sz w:val="24"/>
                <w:szCs w:val="24"/>
              </w:rPr>
            </w:pPr>
            <w:r>
              <w:rPr>
                <w:iCs/>
                <w:color w:val="000000"/>
                <w:sz w:val="24"/>
                <w:szCs w:val="24"/>
              </w:rPr>
              <w:t>11</w:t>
            </w:r>
          </w:p>
        </w:tc>
        <w:tc>
          <w:tcPr>
            <w:tcW w:w="1134" w:type="dxa"/>
          </w:tcPr>
          <w:p w:rsidR="007F36E3" w:rsidRPr="00DB64DE" w:rsidRDefault="007F36E3" w:rsidP="009C4792">
            <w:pPr>
              <w:spacing w:line="276" w:lineRule="auto"/>
              <w:rPr>
                <w:iCs/>
                <w:color w:val="000000"/>
                <w:sz w:val="24"/>
                <w:szCs w:val="24"/>
              </w:rPr>
            </w:pPr>
            <w:r>
              <w:rPr>
                <w:iCs/>
                <w:color w:val="000000"/>
                <w:sz w:val="24"/>
                <w:szCs w:val="24"/>
              </w:rPr>
              <w:t>5</w:t>
            </w:r>
          </w:p>
        </w:tc>
      </w:tr>
      <w:tr w:rsidR="00600A51" w:rsidTr="00600A51">
        <w:trPr>
          <w:jc w:val="center"/>
        </w:trPr>
        <w:tc>
          <w:tcPr>
            <w:tcW w:w="608" w:type="dxa"/>
          </w:tcPr>
          <w:p w:rsidR="007F36E3" w:rsidRDefault="007F36E3" w:rsidP="009C4792">
            <w:pPr>
              <w:spacing w:line="276" w:lineRule="auto"/>
              <w:jc w:val="both"/>
              <w:rPr>
                <w:iCs/>
                <w:color w:val="000000"/>
                <w:sz w:val="24"/>
                <w:szCs w:val="24"/>
              </w:rPr>
            </w:pPr>
            <w:r>
              <w:rPr>
                <w:iCs/>
                <w:color w:val="000000"/>
                <w:sz w:val="24"/>
                <w:szCs w:val="24"/>
              </w:rPr>
              <w:t>2</w:t>
            </w:r>
          </w:p>
        </w:tc>
        <w:tc>
          <w:tcPr>
            <w:tcW w:w="1009" w:type="dxa"/>
          </w:tcPr>
          <w:p w:rsidR="007F36E3" w:rsidRPr="00DB64DE" w:rsidRDefault="007F36E3" w:rsidP="009C4792">
            <w:pPr>
              <w:spacing w:line="276" w:lineRule="auto"/>
              <w:jc w:val="both"/>
              <w:rPr>
                <w:iCs/>
                <w:color w:val="000000"/>
                <w:sz w:val="24"/>
                <w:szCs w:val="24"/>
              </w:rPr>
            </w:pPr>
            <w:r>
              <w:rPr>
                <w:iCs/>
                <w:color w:val="000000"/>
                <w:sz w:val="24"/>
                <w:szCs w:val="24"/>
              </w:rPr>
              <w:t>20-29</w:t>
            </w:r>
          </w:p>
        </w:tc>
        <w:tc>
          <w:tcPr>
            <w:tcW w:w="1276" w:type="dxa"/>
          </w:tcPr>
          <w:p w:rsidR="007F36E3" w:rsidRPr="00DB64DE" w:rsidRDefault="007F36E3" w:rsidP="009C4792">
            <w:pPr>
              <w:spacing w:line="276" w:lineRule="auto"/>
              <w:rPr>
                <w:iCs/>
                <w:color w:val="000000"/>
                <w:sz w:val="24"/>
                <w:szCs w:val="24"/>
              </w:rPr>
            </w:pPr>
            <w:r>
              <w:rPr>
                <w:iCs/>
                <w:color w:val="000000"/>
                <w:sz w:val="24"/>
                <w:szCs w:val="24"/>
              </w:rPr>
              <w:t>2</w:t>
            </w:r>
          </w:p>
        </w:tc>
        <w:tc>
          <w:tcPr>
            <w:tcW w:w="1134" w:type="dxa"/>
          </w:tcPr>
          <w:p w:rsidR="007F36E3" w:rsidRPr="00DB64DE" w:rsidRDefault="007F36E3" w:rsidP="009C4792">
            <w:pPr>
              <w:spacing w:line="276" w:lineRule="auto"/>
              <w:rPr>
                <w:iCs/>
                <w:color w:val="000000"/>
                <w:sz w:val="24"/>
                <w:szCs w:val="24"/>
              </w:rPr>
            </w:pPr>
            <w:r>
              <w:rPr>
                <w:iCs/>
                <w:color w:val="000000"/>
                <w:sz w:val="24"/>
                <w:szCs w:val="24"/>
              </w:rPr>
              <w:t>2</w:t>
            </w:r>
          </w:p>
        </w:tc>
        <w:tc>
          <w:tcPr>
            <w:tcW w:w="1134" w:type="dxa"/>
          </w:tcPr>
          <w:p w:rsidR="007F36E3" w:rsidRPr="00DB64DE" w:rsidRDefault="007F36E3" w:rsidP="009C4792">
            <w:pPr>
              <w:spacing w:line="276" w:lineRule="auto"/>
              <w:rPr>
                <w:iCs/>
                <w:color w:val="000000"/>
                <w:sz w:val="24"/>
                <w:szCs w:val="24"/>
              </w:rPr>
            </w:pPr>
            <w:r>
              <w:rPr>
                <w:iCs/>
                <w:color w:val="000000"/>
                <w:sz w:val="24"/>
                <w:szCs w:val="24"/>
              </w:rPr>
              <w:t>7</w:t>
            </w:r>
          </w:p>
        </w:tc>
      </w:tr>
      <w:tr w:rsidR="00600A51" w:rsidTr="00600A51">
        <w:trPr>
          <w:jc w:val="center"/>
        </w:trPr>
        <w:tc>
          <w:tcPr>
            <w:tcW w:w="608" w:type="dxa"/>
          </w:tcPr>
          <w:p w:rsidR="007F36E3" w:rsidRDefault="007F36E3" w:rsidP="009C4792">
            <w:pPr>
              <w:spacing w:line="276" w:lineRule="auto"/>
              <w:jc w:val="both"/>
              <w:rPr>
                <w:iCs/>
                <w:color w:val="000000"/>
                <w:sz w:val="24"/>
                <w:szCs w:val="24"/>
              </w:rPr>
            </w:pPr>
            <w:r>
              <w:rPr>
                <w:iCs/>
                <w:color w:val="000000"/>
                <w:sz w:val="24"/>
                <w:szCs w:val="24"/>
              </w:rPr>
              <w:t>3</w:t>
            </w:r>
          </w:p>
        </w:tc>
        <w:tc>
          <w:tcPr>
            <w:tcW w:w="1009" w:type="dxa"/>
          </w:tcPr>
          <w:p w:rsidR="007F36E3" w:rsidRPr="00DB64DE" w:rsidRDefault="007F36E3" w:rsidP="009C4792">
            <w:pPr>
              <w:spacing w:line="276" w:lineRule="auto"/>
              <w:jc w:val="both"/>
              <w:rPr>
                <w:iCs/>
                <w:color w:val="000000"/>
                <w:sz w:val="24"/>
                <w:szCs w:val="24"/>
              </w:rPr>
            </w:pPr>
            <w:r>
              <w:rPr>
                <w:iCs/>
                <w:color w:val="000000"/>
                <w:sz w:val="24"/>
                <w:szCs w:val="24"/>
              </w:rPr>
              <w:t>30-39</w:t>
            </w:r>
          </w:p>
        </w:tc>
        <w:tc>
          <w:tcPr>
            <w:tcW w:w="1276" w:type="dxa"/>
          </w:tcPr>
          <w:p w:rsidR="007F36E3" w:rsidRPr="00DB64DE" w:rsidRDefault="007F36E3" w:rsidP="009C4792">
            <w:pPr>
              <w:spacing w:line="276" w:lineRule="auto"/>
              <w:rPr>
                <w:iCs/>
                <w:color w:val="000000"/>
                <w:sz w:val="24"/>
                <w:szCs w:val="24"/>
              </w:rPr>
            </w:pPr>
            <w:r>
              <w:rPr>
                <w:iCs/>
                <w:color w:val="000000"/>
                <w:sz w:val="24"/>
                <w:szCs w:val="24"/>
              </w:rPr>
              <w:t>10</w:t>
            </w:r>
          </w:p>
        </w:tc>
        <w:tc>
          <w:tcPr>
            <w:tcW w:w="1134" w:type="dxa"/>
          </w:tcPr>
          <w:p w:rsidR="007F36E3" w:rsidRPr="00DB64DE" w:rsidRDefault="009C4792" w:rsidP="009C4792">
            <w:pPr>
              <w:spacing w:line="276" w:lineRule="auto"/>
              <w:rPr>
                <w:iCs/>
                <w:color w:val="000000"/>
                <w:sz w:val="24"/>
                <w:szCs w:val="24"/>
              </w:rPr>
            </w:pPr>
            <w:r>
              <w:rPr>
                <w:iCs/>
                <w:color w:val="000000"/>
                <w:sz w:val="24"/>
                <w:szCs w:val="24"/>
              </w:rPr>
              <w:t>4</w:t>
            </w:r>
          </w:p>
        </w:tc>
        <w:tc>
          <w:tcPr>
            <w:tcW w:w="1134" w:type="dxa"/>
          </w:tcPr>
          <w:p w:rsidR="007F36E3" w:rsidRPr="00DB64DE" w:rsidRDefault="009C4792" w:rsidP="009C4792">
            <w:pPr>
              <w:spacing w:line="276" w:lineRule="auto"/>
              <w:rPr>
                <w:iCs/>
                <w:color w:val="000000"/>
                <w:sz w:val="24"/>
                <w:szCs w:val="24"/>
              </w:rPr>
            </w:pPr>
            <w:r>
              <w:rPr>
                <w:iCs/>
                <w:color w:val="000000"/>
                <w:sz w:val="24"/>
                <w:szCs w:val="24"/>
              </w:rPr>
              <w:t>2</w:t>
            </w:r>
          </w:p>
        </w:tc>
      </w:tr>
      <w:tr w:rsidR="00600A51" w:rsidTr="00600A51">
        <w:trPr>
          <w:jc w:val="center"/>
        </w:trPr>
        <w:tc>
          <w:tcPr>
            <w:tcW w:w="608" w:type="dxa"/>
          </w:tcPr>
          <w:p w:rsidR="007F36E3" w:rsidRDefault="007F36E3" w:rsidP="009C4792">
            <w:pPr>
              <w:spacing w:line="276" w:lineRule="auto"/>
              <w:jc w:val="both"/>
              <w:rPr>
                <w:iCs/>
                <w:color w:val="000000"/>
                <w:sz w:val="24"/>
                <w:szCs w:val="24"/>
              </w:rPr>
            </w:pPr>
            <w:r>
              <w:rPr>
                <w:iCs/>
                <w:color w:val="000000"/>
                <w:sz w:val="24"/>
                <w:szCs w:val="24"/>
              </w:rPr>
              <w:t>4</w:t>
            </w:r>
          </w:p>
        </w:tc>
        <w:tc>
          <w:tcPr>
            <w:tcW w:w="1009" w:type="dxa"/>
          </w:tcPr>
          <w:p w:rsidR="007F36E3" w:rsidRPr="00DB64DE" w:rsidRDefault="007F36E3" w:rsidP="009C4792">
            <w:pPr>
              <w:spacing w:line="276" w:lineRule="auto"/>
              <w:jc w:val="both"/>
              <w:rPr>
                <w:iCs/>
                <w:color w:val="000000"/>
                <w:sz w:val="24"/>
                <w:szCs w:val="24"/>
              </w:rPr>
            </w:pPr>
            <w:r>
              <w:rPr>
                <w:iCs/>
                <w:color w:val="000000"/>
                <w:sz w:val="24"/>
                <w:szCs w:val="24"/>
              </w:rPr>
              <w:t>40-49</w:t>
            </w:r>
          </w:p>
        </w:tc>
        <w:tc>
          <w:tcPr>
            <w:tcW w:w="1276" w:type="dxa"/>
          </w:tcPr>
          <w:p w:rsidR="007F36E3" w:rsidRPr="00DB64DE" w:rsidRDefault="009C4792" w:rsidP="009C4792">
            <w:pPr>
              <w:spacing w:line="276" w:lineRule="auto"/>
              <w:rPr>
                <w:iCs/>
                <w:color w:val="000000"/>
                <w:sz w:val="24"/>
                <w:szCs w:val="24"/>
              </w:rPr>
            </w:pPr>
            <w:r>
              <w:rPr>
                <w:iCs/>
                <w:color w:val="000000"/>
                <w:sz w:val="24"/>
                <w:szCs w:val="24"/>
              </w:rPr>
              <w:t>17</w:t>
            </w:r>
          </w:p>
        </w:tc>
        <w:tc>
          <w:tcPr>
            <w:tcW w:w="1134" w:type="dxa"/>
          </w:tcPr>
          <w:p w:rsidR="007F36E3" w:rsidRPr="00DB64DE" w:rsidRDefault="009C4792" w:rsidP="009C4792">
            <w:pPr>
              <w:spacing w:line="276" w:lineRule="auto"/>
              <w:rPr>
                <w:iCs/>
                <w:color w:val="000000"/>
                <w:sz w:val="24"/>
                <w:szCs w:val="24"/>
              </w:rPr>
            </w:pPr>
            <w:r>
              <w:rPr>
                <w:iCs/>
                <w:color w:val="000000"/>
                <w:sz w:val="24"/>
                <w:szCs w:val="24"/>
              </w:rPr>
              <w:t>16</w:t>
            </w:r>
          </w:p>
        </w:tc>
        <w:tc>
          <w:tcPr>
            <w:tcW w:w="1134" w:type="dxa"/>
          </w:tcPr>
          <w:p w:rsidR="007F36E3" w:rsidRPr="00DB64DE" w:rsidRDefault="009C4792" w:rsidP="009C4792">
            <w:pPr>
              <w:spacing w:line="276" w:lineRule="auto"/>
              <w:rPr>
                <w:iCs/>
                <w:color w:val="000000"/>
                <w:sz w:val="24"/>
                <w:szCs w:val="24"/>
              </w:rPr>
            </w:pPr>
            <w:r>
              <w:rPr>
                <w:iCs/>
                <w:color w:val="000000"/>
                <w:sz w:val="24"/>
                <w:szCs w:val="24"/>
              </w:rPr>
              <w:t>20</w:t>
            </w:r>
          </w:p>
        </w:tc>
      </w:tr>
      <w:tr w:rsidR="00600A51" w:rsidTr="00600A51">
        <w:trPr>
          <w:jc w:val="center"/>
        </w:trPr>
        <w:tc>
          <w:tcPr>
            <w:tcW w:w="608" w:type="dxa"/>
          </w:tcPr>
          <w:p w:rsidR="007F36E3" w:rsidRDefault="007F36E3" w:rsidP="009C4792">
            <w:pPr>
              <w:spacing w:line="276" w:lineRule="auto"/>
              <w:jc w:val="both"/>
              <w:rPr>
                <w:iCs/>
                <w:color w:val="000000"/>
                <w:sz w:val="24"/>
                <w:szCs w:val="24"/>
              </w:rPr>
            </w:pPr>
            <w:r>
              <w:rPr>
                <w:iCs/>
                <w:color w:val="000000"/>
                <w:sz w:val="24"/>
                <w:szCs w:val="24"/>
              </w:rPr>
              <w:t>5</w:t>
            </w:r>
          </w:p>
        </w:tc>
        <w:tc>
          <w:tcPr>
            <w:tcW w:w="1009" w:type="dxa"/>
          </w:tcPr>
          <w:p w:rsidR="007F36E3" w:rsidRPr="00DB64DE" w:rsidRDefault="007F36E3" w:rsidP="009C4792">
            <w:pPr>
              <w:spacing w:line="276" w:lineRule="auto"/>
              <w:jc w:val="both"/>
              <w:rPr>
                <w:iCs/>
                <w:color w:val="000000"/>
                <w:sz w:val="24"/>
                <w:szCs w:val="24"/>
              </w:rPr>
            </w:pPr>
            <w:r>
              <w:rPr>
                <w:iCs/>
                <w:color w:val="000000"/>
                <w:sz w:val="24"/>
                <w:szCs w:val="24"/>
              </w:rPr>
              <w:t>50-59</w:t>
            </w:r>
          </w:p>
        </w:tc>
        <w:tc>
          <w:tcPr>
            <w:tcW w:w="1276" w:type="dxa"/>
          </w:tcPr>
          <w:p w:rsidR="007F36E3" w:rsidRPr="00DB64DE" w:rsidRDefault="009C4792" w:rsidP="009C4792">
            <w:pPr>
              <w:spacing w:line="276" w:lineRule="auto"/>
              <w:rPr>
                <w:iCs/>
                <w:color w:val="000000"/>
                <w:sz w:val="24"/>
                <w:szCs w:val="24"/>
              </w:rPr>
            </w:pPr>
            <w:r>
              <w:rPr>
                <w:iCs/>
                <w:color w:val="000000"/>
                <w:sz w:val="24"/>
                <w:szCs w:val="24"/>
              </w:rPr>
              <w:t>21</w:t>
            </w:r>
          </w:p>
        </w:tc>
        <w:tc>
          <w:tcPr>
            <w:tcW w:w="1134" w:type="dxa"/>
          </w:tcPr>
          <w:p w:rsidR="007F36E3" w:rsidRPr="00DB64DE" w:rsidRDefault="009C4792" w:rsidP="009C4792">
            <w:pPr>
              <w:spacing w:line="276" w:lineRule="auto"/>
              <w:rPr>
                <w:iCs/>
                <w:color w:val="000000"/>
                <w:sz w:val="24"/>
                <w:szCs w:val="24"/>
              </w:rPr>
            </w:pPr>
            <w:r>
              <w:rPr>
                <w:iCs/>
                <w:color w:val="000000"/>
                <w:sz w:val="24"/>
                <w:szCs w:val="24"/>
              </w:rPr>
              <w:t>36</w:t>
            </w:r>
          </w:p>
        </w:tc>
        <w:tc>
          <w:tcPr>
            <w:tcW w:w="1134" w:type="dxa"/>
          </w:tcPr>
          <w:p w:rsidR="007F36E3" w:rsidRPr="00DB64DE" w:rsidRDefault="009C4792" w:rsidP="009C4792">
            <w:pPr>
              <w:spacing w:line="276" w:lineRule="auto"/>
              <w:rPr>
                <w:iCs/>
                <w:color w:val="000000"/>
                <w:sz w:val="24"/>
                <w:szCs w:val="24"/>
              </w:rPr>
            </w:pPr>
            <w:r>
              <w:rPr>
                <w:iCs/>
                <w:color w:val="000000"/>
                <w:sz w:val="24"/>
                <w:szCs w:val="24"/>
              </w:rPr>
              <w:t>37</w:t>
            </w:r>
          </w:p>
        </w:tc>
      </w:tr>
      <w:tr w:rsidR="00600A51" w:rsidTr="00600A51">
        <w:trPr>
          <w:trHeight w:val="58"/>
          <w:jc w:val="center"/>
        </w:trPr>
        <w:tc>
          <w:tcPr>
            <w:tcW w:w="608" w:type="dxa"/>
          </w:tcPr>
          <w:p w:rsidR="007F36E3" w:rsidRDefault="007F36E3" w:rsidP="009C4792">
            <w:pPr>
              <w:spacing w:line="276" w:lineRule="auto"/>
              <w:jc w:val="both"/>
              <w:rPr>
                <w:iCs/>
                <w:color w:val="000000"/>
                <w:sz w:val="24"/>
                <w:szCs w:val="24"/>
              </w:rPr>
            </w:pPr>
            <w:r>
              <w:rPr>
                <w:iCs/>
                <w:color w:val="000000"/>
                <w:sz w:val="24"/>
                <w:szCs w:val="24"/>
              </w:rPr>
              <w:t>6</w:t>
            </w:r>
          </w:p>
        </w:tc>
        <w:tc>
          <w:tcPr>
            <w:tcW w:w="1009" w:type="dxa"/>
          </w:tcPr>
          <w:p w:rsidR="007F36E3" w:rsidRPr="00DB64DE" w:rsidRDefault="007F36E3" w:rsidP="009C4792">
            <w:pPr>
              <w:spacing w:line="276" w:lineRule="auto"/>
              <w:jc w:val="both"/>
              <w:rPr>
                <w:iCs/>
                <w:color w:val="000000"/>
                <w:sz w:val="24"/>
                <w:szCs w:val="24"/>
              </w:rPr>
            </w:pPr>
            <w:r>
              <w:rPr>
                <w:iCs/>
                <w:color w:val="000000"/>
                <w:sz w:val="24"/>
                <w:szCs w:val="24"/>
              </w:rPr>
              <w:t>60-69</w:t>
            </w:r>
          </w:p>
        </w:tc>
        <w:tc>
          <w:tcPr>
            <w:tcW w:w="1276" w:type="dxa"/>
          </w:tcPr>
          <w:p w:rsidR="007F36E3" w:rsidRPr="00DB64DE" w:rsidRDefault="009C4792" w:rsidP="009C4792">
            <w:pPr>
              <w:spacing w:line="276" w:lineRule="auto"/>
              <w:rPr>
                <w:iCs/>
                <w:color w:val="000000"/>
                <w:sz w:val="24"/>
                <w:szCs w:val="24"/>
              </w:rPr>
            </w:pPr>
            <w:r>
              <w:rPr>
                <w:iCs/>
                <w:color w:val="000000"/>
                <w:sz w:val="24"/>
                <w:szCs w:val="24"/>
              </w:rPr>
              <w:t>25</w:t>
            </w:r>
          </w:p>
        </w:tc>
        <w:tc>
          <w:tcPr>
            <w:tcW w:w="1134" w:type="dxa"/>
          </w:tcPr>
          <w:p w:rsidR="007F36E3" w:rsidRPr="00DB64DE" w:rsidRDefault="009C4792" w:rsidP="009C4792">
            <w:pPr>
              <w:spacing w:line="276" w:lineRule="auto"/>
              <w:rPr>
                <w:iCs/>
                <w:color w:val="000000"/>
                <w:sz w:val="24"/>
                <w:szCs w:val="24"/>
              </w:rPr>
            </w:pPr>
            <w:r>
              <w:rPr>
                <w:iCs/>
                <w:color w:val="000000"/>
                <w:sz w:val="24"/>
                <w:szCs w:val="24"/>
              </w:rPr>
              <w:t>24</w:t>
            </w:r>
          </w:p>
        </w:tc>
        <w:tc>
          <w:tcPr>
            <w:tcW w:w="1134" w:type="dxa"/>
          </w:tcPr>
          <w:p w:rsidR="007F36E3" w:rsidRPr="00DB64DE" w:rsidRDefault="009C4792" w:rsidP="009C4792">
            <w:pPr>
              <w:spacing w:line="276" w:lineRule="auto"/>
              <w:rPr>
                <w:iCs/>
                <w:color w:val="000000"/>
                <w:sz w:val="24"/>
                <w:szCs w:val="24"/>
              </w:rPr>
            </w:pPr>
            <w:r>
              <w:rPr>
                <w:iCs/>
                <w:color w:val="000000"/>
                <w:sz w:val="24"/>
                <w:szCs w:val="24"/>
              </w:rPr>
              <w:t>24</w:t>
            </w:r>
          </w:p>
        </w:tc>
      </w:tr>
      <w:tr w:rsidR="00600A51" w:rsidTr="00600A51">
        <w:trPr>
          <w:jc w:val="center"/>
        </w:trPr>
        <w:tc>
          <w:tcPr>
            <w:tcW w:w="608" w:type="dxa"/>
          </w:tcPr>
          <w:p w:rsidR="007F36E3" w:rsidRDefault="007F36E3" w:rsidP="009C4792">
            <w:pPr>
              <w:spacing w:line="276" w:lineRule="auto"/>
              <w:jc w:val="both"/>
              <w:rPr>
                <w:iCs/>
                <w:color w:val="000000"/>
                <w:sz w:val="24"/>
                <w:szCs w:val="24"/>
              </w:rPr>
            </w:pPr>
            <w:r>
              <w:rPr>
                <w:iCs/>
                <w:color w:val="000000"/>
                <w:sz w:val="24"/>
                <w:szCs w:val="24"/>
              </w:rPr>
              <w:t>7</w:t>
            </w:r>
          </w:p>
        </w:tc>
        <w:tc>
          <w:tcPr>
            <w:tcW w:w="1009" w:type="dxa"/>
          </w:tcPr>
          <w:p w:rsidR="007F36E3" w:rsidRDefault="007F36E3" w:rsidP="009C4792">
            <w:pPr>
              <w:spacing w:line="276" w:lineRule="auto"/>
              <w:jc w:val="both"/>
              <w:rPr>
                <w:iCs/>
                <w:color w:val="000000"/>
                <w:sz w:val="24"/>
                <w:szCs w:val="24"/>
              </w:rPr>
            </w:pPr>
            <w:r>
              <w:rPr>
                <w:iCs/>
                <w:color w:val="000000"/>
                <w:sz w:val="24"/>
                <w:szCs w:val="24"/>
              </w:rPr>
              <w:t>70-79</w:t>
            </w:r>
          </w:p>
        </w:tc>
        <w:tc>
          <w:tcPr>
            <w:tcW w:w="1276" w:type="dxa"/>
          </w:tcPr>
          <w:p w:rsidR="007F36E3" w:rsidRDefault="009C4792" w:rsidP="009C4792">
            <w:pPr>
              <w:spacing w:line="276" w:lineRule="auto"/>
              <w:rPr>
                <w:iCs/>
                <w:color w:val="000000"/>
                <w:sz w:val="24"/>
                <w:szCs w:val="24"/>
              </w:rPr>
            </w:pPr>
            <w:r>
              <w:rPr>
                <w:iCs/>
                <w:color w:val="000000"/>
                <w:sz w:val="24"/>
                <w:szCs w:val="24"/>
              </w:rPr>
              <w:t>14</w:t>
            </w:r>
          </w:p>
        </w:tc>
        <w:tc>
          <w:tcPr>
            <w:tcW w:w="1134" w:type="dxa"/>
          </w:tcPr>
          <w:p w:rsidR="007F36E3" w:rsidRDefault="009C4792" w:rsidP="009C4792">
            <w:pPr>
              <w:spacing w:line="276" w:lineRule="auto"/>
              <w:rPr>
                <w:iCs/>
                <w:color w:val="000000"/>
                <w:sz w:val="24"/>
                <w:szCs w:val="24"/>
              </w:rPr>
            </w:pPr>
            <w:r>
              <w:rPr>
                <w:iCs/>
                <w:color w:val="000000"/>
                <w:sz w:val="24"/>
                <w:szCs w:val="24"/>
              </w:rPr>
              <w:t>6</w:t>
            </w:r>
          </w:p>
        </w:tc>
        <w:tc>
          <w:tcPr>
            <w:tcW w:w="1134" w:type="dxa"/>
          </w:tcPr>
          <w:p w:rsidR="007F36E3" w:rsidRDefault="009C4792" w:rsidP="009C4792">
            <w:pPr>
              <w:spacing w:line="276" w:lineRule="auto"/>
              <w:rPr>
                <w:iCs/>
                <w:color w:val="000000"/>
                <w:sz w:val="24"/>
                <w:szCs w:val="24"/>
              </w:rPr>
            </w:pPr>
            <w:r>
              <w:rPr>
                <w:iCs/>
                <w:color w:val="000000"/>
                <w:sz w:val="24"/>
                <w:szCs w:val="24"/>
              </w:rPr>
              <w:t>7</w:t>
            </w:r>
          </w:p>
        </w:tc>
      </w:tr>
      <w:tr w:rsidR="00600A51" w:rsidTr="00600A51">
        <w:trPr>
          <w:jc w:val="center"/>
        </w:trPr>
        <w:tc>
          <w:tcPr>
            <w:tcW w:w="608" w:type="dxa"/>
          </w:tcPr>
          <w:p w:rsidR="007F36E3" w:rsidRDefault="007F36E3" w:rsidP="009C4792">
            <w:pPr>
              <w:spacing w:line="276" w:lineRule="auto"/>
              <w:jc w:val="both"/>
              <w:rPr>
                <w:iCs/>
                <w:color w:val="000000"/>
                <w:sz w:val="24"/>
                <w:szCs w:val="24"/>
              </w:rPr>
            </w:pPr>
            <w:r>
              <w:rPr>
                <w:iCs/>
                <w:color w:val="000000"/>
                <w:sz w:val="24"/>
                <w:szCs w:val="24"/>
              </w:rPr>
              <w:t>8</w:t>
            </w:r>
          </w:p>
        </w:tc>
        <w:tc>
          <w:tcPr>
            <w:tcW w:w="1009" w:type="dxa"/>
          </w:tcPr>
          <w:p w:rsidR="007F36E3" w:rsidRDefault="007F36E3" w:rsidP="009C4792">
            <w:pPr>
              <w:spacing w:line="276" w:lineRule="auto"/>
              <w:jc w:val="both"/>
              <w:rPr>
                <w:iCs/>
                <w:color w:val="000000"/>
                <w:sz w:val="24"/>
                <w:szCs w:val="24"/>
              </w:rPr>
            </w:pPr>
            <w:r>
              <w:rPr>
                <w:iCs/>
                <w:color w:val="000000"/>
                <w:sz w:val="24"/>
                <w:szCs w:val="24"/>
              </w:rPr>
              <w:t>80-89</w:t>
            </w:r>
          </w:p>
        </w:tc>
        <w:tc>
          <w:tcPr>
            <w:tcW w:w="1276" w:type="dxa"/>
          </w:tcPr>
          <w:p w:rsidR="007F36E3" w:rsidRDefault="009C4792" w:rsidP="009C4792">
            <w:pPr>
              <w:spacing w:line="276" w:lineRule="auto"/>
              <w:rPr>
                <w:iCs/>
                <w:color w:val="000000"/>
                <w:sz w:val="24"/>
                <w:szCs w:val="24"/>
              </w:rPr>
            </w:pPr>
            <w:r>
              <w:rPr>
                <w:iCs/>
                <w:color w:val="000000"/>
                <w:sz w:val="24"/>
                <w:szCs w:val="24"/>
              </w:rPr>
              <w:t>2</w:t>
            </w:r>
          </w:p>
        </w:tc>
        <w:tc>
          <w:tcPr>
            <w:tcW w:w="1134" w:type="dxa"/>
          </w:tcPr>
          <w:p w:rsidR="007F36E3" w:rsidRDefault="009C4792" w:rsidP="009C4792">
            <w:pPr>
              <w:spacing w:line="276" w:lineRule="auto"/>
              <w:rPr>
                <w:iCs/>
                <w:color w:val="000000"/>
                <w:sz w:val="24"/>
                <w:szCs w:val="24"/>
              </w:rPr>
            </w:pPr>
            <w:r>
              <w:rPr>
                <w:iCs/>
                <w:color w:val="000000"/>
                <w:sz w:val="24"/>
                <w:szCs w:val="24"/>
              </w:rPr>
              <w:t>0</w:t>
            </w:r>
          </w:p>
        </w:tc>
        <w:tc>
          <w:tcPr>
            <w:tcW w:w="1134" w:type="dxa"/>
          </w:tcPr>
          <w:p w:rsidR="007F36E3" w:rsidRDefault="009C4792" w:rsidP="009C4792">
            <w:pPr>
              <w:spacing w:line="276" w:lineRule="auto"/>
              <w:rPr>
                <w:iCs/>
                <w:color w:val="000000"/>
                <w:sz w:val="24"/>
                <w:szCs w:val="24"/>
              </w:rPr>
            </w:pPr>
            <w:r>
              <w:rPr>
                <w:iCs/>
                <w:color w:val="000000"/>
                <w:sz w:val="24"/>
                <w:szCs w:val="24"/>
              </w:rPr>
              <w:t>0</w:t>
            </w:r>
          </w:p>
        </w:tc>
      </w:tr>
      <w:tr w:rsidR="00600A51" w:rsidTr="00600A51">
        <w:trPr>
          <w:jc w:val="center"/>
        </w:trPr>
        <w:tc>
          <w:tcPr>
            <w:tcW w:w="608" w:type="dxa"/>
          </w:tcPr>
          <w:p w:rsidR="007F36E3" w:rsidRDefault="007F36E3" w:rsidP="009C4792">
            <w:pPr>
              <w:spacing w:line="276" w:lineRule="auto"/>
              <w:jc w:val="both"/>
              <w:rPr>
                <w:iCs/>
                <w:color w:val="000000"/>
                <w:sz w:val="24"/>
                <w:szCs w:val="24"/>
              </w:rPr>
            </w:pPr>
            <w:r>
              <w:rPr>
                <w:iCs/>
                <w:color w:val="000000"/>
                <w:sz w:val="24"/>
                <w:szCs w:val="24"/>
              </w:rPr>
              <w:t>9</w:t>
            </w:r>
          </w:p>
        </w:tc>
        <w:tc>
          <w:tcPr>
            <w:tcW w:w="1009" w:type="dxa"/>
          </w:tcPr>
          <w:p w:rsidR="007F36E3" w:rsidRDefault="007F36E3" w:rsidP="009C4792">
            <w:pPr>
              <w:spacing w:line="276" w:lineRule="auto"/>
              <w:jc w:val="both"/>
              <w:rPr>
                <w:iCs/>
                <w:color w:val="000000"/>
                <w:sz w:val="24"/>
                <w:szCs w:val="24"/>
              </w:rPr>
            </w:pPr>
            <w:r>
              <w:rPr>
                <w:iCs/>
                <w:color w:val="000000"/>
                <w:sz w:val="24"/>
                <w:szCs w:val="24"/>
              </w:rPr>
              <w:t>90-100</w:t>
            </w:r>
          </w:p>
        </w:tc>
        <w:tc>
          <w:tcPr>
            <w:tcW w:w="1276" w:type="dxa"/>
          </w:tcPr>
          <w:p w:rsidR="007F36E3" w:rsidRDefault="009C4792" w:rsidP="009C4792">
            <w:pPr>
              <w:spacing w:line="276" w:lineRule="auto"/>
              <w:rPr>
                <w:iCs/>
                <w:color w:val="000000"/>
                <w:sz w:val="24"/>
                <w:szCs w:val="24"/>
              </w:rPr>
            </w:pPr>
            <w:r>
              <w:rPr>
                <w:iCs/>
                <w:color w:val="000000"/>
                <w:sz w:val="24"/>
                <w:szCs w:val="24"/>
              </w:rPr>
              <w:t>0</w:t>
            </w:r>
          </w:p>
        </w:tc>
        <w:tc>
          <w:tcPr>
            <w:tcW w:w="1134" w:type="dxa"/>
          </w:tcPr>
          <w:p w:rsidR="007F36E3" w:rsidRDefault="009C4792" w:rsidP="009C4792">
            <w:pPr>
              <w:spacing w:line="276" w:lineRule="auto"/>
              <w:rPr>
                <w:iCs/>
                <w:color w:val="000000"/>
                <w:sz w:val="24"/>
                <w:szCs w:val="24"/>
              </w:rPr>
            </w:pPr>
            <w:r>
              <w:rPr>
                <w:iCs/>
                <w:color w:val="000000"/>
                <w:sz w:val="24"/>
                <w:szCs w:val="24"/>
              </w:rPr>
              <w:t>0</w:t>
            </w:r>
          </w:p>
        </w:tc>
        <w:tc>
          <w:tcPr>
            <w:tcW w:w="1134" w:type="dxa"/>
          </w:tcPr>
          <w:p w:rsidR="007F36E3" w:rsidRDefault="009C4792" w:rsidP="009C4792">
            <w:pPr>
              <w:spacing w:line="276" w:lineRule="auto"/>
              <w:rPr>
                <w:iCs/>
                <w:color w:val="000000"/>
                <w:sz w:val="24"/>
                <w:szCs w:val="24"/>
              </w:rPr>
            </w:pPr>
            <w:r>
              <w:rPr>
                <w:iCs/>
                <w:color w:val="000000"/>
                <w:sz w:val="24"/>
                <w:szCs w:val="24"/>
              </w:rPr>
              <w:t>0</w:t>
            </w:r>
          </w:p>
        </w:tc>
      </w:tr>
    </w:tbl>
    <w:p w:rsidR="009E1F87" w:rsidRDefault="009E1F87" w:rsidP="0028467B">
      <w:pPr>
        <w:pStyle w:val="BodytextIndented"/>
        <w:rPr>
          <w:rFonts w:cs="Times"/>
          <w:sz w:val="20"/>
          <w:szCs w:val="20"/>
          <w:lang w:val="en-GB"/>
        </w:rPr>
      </w:pPr>
    </w:p>
    <w:p w:rsidR="009E1F87" w:rsidRPr="009E1F87" w:rsidRDefault="009E1F87" w:rsidP="00540A1F">
      <w:pPr>
        <w:pStyle w:val="BodytextIndented"/>
        <w:rPr>
          <w:rFonts w:cs="Times"/>
          <w:sz w:val="20"/>
          <w:szCs w:val="20"/>
          <w:lang w:val="en-GB"/>
        </w:rPr>
      </w:pPr>
    </w:p>
    <w:p w:rsidR="004079EC" w:rsidRPr="001D79BD" w:rsidRDefault="005C1F1E" w:rsidP="001D79BD">
      <w:pPr>
        <w:spacing w:line="276" w:lineRule="auto"/>
        <w:jc w:val="both"/>
        <w:rPr>
          <w:rFonts w:ascii="Times New Roman" w:hAnsi="Times New Roman"/>
          <w:szCs w:val="22"/>
        </w:rPr>
      </w:pPr>
      <w:r w:rsidRPr="001D79BD">
        <w:rPr>
          <w:rFonts w:ascii="Times New Roman" w:hAnsi="Times New Roman"/>
          <w:szCs w:val="22"/>
        </w:rPr>
        <w:t>It is of ultimate importance to determine the distribution of the final performance of the students in these years. A mark distribution of</w:t>
      </w:r>
      <w:r w:rsidR="00666996">
        <w:rPr>
          <w:rFonts w:ascii="Times New Roman" w:hAnsi="Times New Roman"/>
          <w:szCs w:val="22"/>
        </w:rPr>
        <w:t xml:space="preserve"> the performance of students at the end of the module;</w:t>
      </w:r>
      <w:r w:rsidR="00E4651B">
        <w:rPr>
          <w:rFonts w:ascii="Times New Roman" w:hAnsi="Times New Roman"/>
          <w:szCs w:val="22"/>
        </w:rPr>
        <w:t xml:space="preserve"> is listed in T</w:t>
      </w:r>
      <w:r w:rsidRPr="001D79BD">
        <w:rPr>
          <w:rFonts w:ascii="Times New Roman" w:hAnsi="Times New Roman"/>
          <w:szCs w:val="22"/>
        </w:rPr>
        <w:t xml:space="preserve">able </w:t>
      </w:r>
      <w:r w:rsidR="004079EC" w:rsidRPr="001D79BD">
        <w:rPr>
          <w:rFonts w:ascii="Times New Roman" w:hAnsi="Times New Roman"/>
          <w:szCs w:val="22"/>
        </w:rPr>
        <w:t>3</w:t>
      </w:r>
      <w:r w:rsidRPr="001D79BD">
        <w:rPr>
          <w:rFonts w:ascii="Times New Roman" w:hAnsi="Times New Roman"/>
          <w:szCs w:val="22"/>
        </w:rPr>
        <w:t xml:space="preserve"> and graphically represented</w:t>
      </w:r>
      <w:r w:rsidR="00E4651B">
        <w:rPr>
          <w:rFonts w:ascii="Times New Roman" w:hAnsi="Times New Roman"/>
          <w:szCs w:val="22"/>
        </w:rPr>
        <w:t xml:space="preserve"> in the form of a histogram in F</w:t>
      </w:r>
      <w:r w:rsidRPr="001D79BD">
        <w:rPr>
          <w:rFonts w:ascii="Times New Roman" w:hAnsi="Times New Roman"/>
          <w:szCs w:val="22"/>
        </w:rPr>
        <w:t>igure</w:t>
      </w:r>
      <w:r w:rsidR="00E4651B">
        <w:rPr>
          <w:rFonts w:ascii="Times New Roman" w:hAnsi="Times New Roman"/>
          <w:szCs w:val="22"/>
        </w:rPr>
        <w:t xml:space="preserve"> 2</w:t>
      </w:r>
      <w:r w:rsidRPr="001D79BD">
        <w:rPr>
          <w:rFonts w:ascii="Times New Roman" w:hAnsi="Times New Roman"/>
          <w:szCs w:val="22"/>
        </w:rPr>
        <w:t xml:space="preserve">. </w:t>
      </w:r>
    </w:p>
    <w:p w:rsidR="004079EC" w:rsidRPr="001D79BD" w:rsidRDefault="004079EC" w:rsidP="001D79BD">
      <w:pPr>
        <w:spacing w:line="276" w:lineRule="auto"/>
        <w:jc w:val="both"/>
        <w:rPr>
          <w:rFonts w:ascii="Times New Roman" w:hAnsi="Times New Roman"/>
          <w:szCs w:val="22"/>
        </w:rPr>
      </w:pPr>
    </w:p>
    <w:p w:rsidR="003E73BF" w:rsidRPr="001D79BD" w:rsidRDefault="005C1F1E" w:rsidP="001D79BD">
      <w:pPr>
        <w:spacing w:line="276" w:lineRule="auto"/>
        <w:jc w:val="both"/>
        <w:rPr>
          <w:rFonts w:ascii="Times New Roman" w:hAnsi="Times New Roman"/>
          <w:szCs w:val="22"/>
        </w:rPr>
      </w:pPr>
      <w:r w:rsidRPr="001D79BD">
        <w:rPr>
          <w:rFonts w:ascii="Times New Roman" w:hAnsi="Times New Roman"/>
          <w:szCs w:val="22"/>
        </w:rPr>
        <w:t xml:space="preserve">The </w:t>
      </w:r>
      <w:r w:rsidR="004079EC" w:rsidRPr="001D79BD">
        <w:rPr>
          <w:rFonts w:ascii="Times New Roman" w:hAnsi="Times New Roman"/>
          <w:szCs w:val="22"/>
        </w:rPr>
        <w:t>distribution</w:t>
      </w:r>
      <w:r w:rsidRPr="001D79BD">
        <w:rPr>
          <w:rFonts w:ascii="Times New Roman" w:hAnsi="Times New Roman"/>
          <w:szCs w:val="22"/>
        </w:rPr>
        <w:t xml:space="preserve"> of 2010 performance is seen to be more towards lower percentages as compared to the other two following years (2011 and 2012). Almost 38% of the students in 2010 obtained less than a pass mark (50%), 33% of these in 2011 and 34% of students got less than a pass mark in 2012. Although there is a significant difference in these percentages of the students passing the module, between the 2010 and (2011</w:t>
      </w:r>
      <w:r w:rsidR="00F57A74">
        <w:rPr>
          <w:rFonts w:ascii="Times New Roman" w:hAnsi="Times New Roman"/>
          <w:szCs w:val="22"/>
        </w:rPr>
        <w:t>/2012) percentages, the average marks</w:t>
      </w:r>
      <w:r w:rsidRPr="001D79BD">
        <w:rPr>
          <w:rFonts w:ascii="Times New Roman" w:hAnsi="Times New Roman"/>
          <w:szCs w:val="22"/>
        </w:rPr>
        <w:t xml:space="preserve"> obtained in these years are almost similar (50%).</w:t>
      </w:r>
      <w:r w:rsidR="00F57A74">
        <w:rPr>
          <w:rFonts w:ascii="Times New Roman" w:hAnsi="Times New Roman"/>
          <w:szCs w:val="22"/>
        </w:rPr>
        <w:t xml:space="preserve"> This suggests that the average marks</w:t>
      </w:r>
      <w:r w:rsidRPr="001D79BD">
        <w:rPr>
          <w:rFonts w:ascii="Times New Roman" w:hAnsi="Times New Roman"/>
          <w:szCs w:val="22"/>
        </w:rPr>
        <w:t xml:space="preserve"> cannot be an accurate indicator of the performance of the students in terms of the module pass rate and the throughput.  </w:t>
      </w:r>
    </w:p>
    <w:p w:rsidR="00B50DC3" w:rsidRDefault="00B50DC3" w:rsidP="00B50DC3">
      <w:pPr>
        <w:pStyle w:val="BodytextIndented"/>
        <w:rPr>
          <w:lang w:val="en-GB"/>
        </w:rPr>
      </w:pPr>
    </w:p>
    <w:p w:rsidR="00185796" w:rsidRDefault="00185796" w:rsidP="00185796">
      <w:pPr>
        <w:autoSpaceDE w:val="0"/>
        <w:autoSpaceDN w:val="0"/>
        <w:adjustRightInd w:val="0"/>
        <w:jc w:val="both"/>
        <w:rPr>
          <w:rFonts w:ascii="Times New Roman" w:hAnsi="Times New Roman"/>
          <w:sz w:val="24"/>
          <w:szCs w:val="24"/>
        </w:rPr>
      </w:pPr>
    </w:p>
    <w:p w:rsidR="002742AE" w:rsidRPr="009C4792" w:rsidRDefault="002742AE" w:rsidP="002742AE">
      <w:pPr>
        <w:pStyle w:val="Section"/>
        <w:rPr>
          <w:sz w:val="24"/>
          <w:szCs w:val="24"/>
        </w:rPr>
      </w:pPr>
      <w:r w:rsidRPr="009C4792">
        <w:rPr>
          <w:sz w:val="24"/>
          <w:szCs w:val="24"/>
        </w:rPr>
        <w:t xml:space="preserve">Conclusion </w:t>
      </w:r>
      <w:r w:rsidR="005754CC" w:rsidRPr="009C4792">
        <w:rPr>
          <w:sz w:val="24"/>
          <w:szCs w:val="24"/>
        </w:rPr>
        <w:t>and Recommendations</w:t>
      </w:r>
    </w:p>
    <w:p w:rsidR="002742AE" w:rsidRDefault="002742AE" w:rsidP="002742AE">
      <w:pPr>
        <w:pStyle w:val="Bodytext"/>
        <w:rPr>
          <w:lang w:val="en-GB"/>
        </w:rPr>
      </w:pPr>
    </w:p>
    <w:p w:rsidR="002B5BCF" w:rsidRPr="00600A51" w:rsidRDefault="001A63E0" w:rsidP="001D79BD">
      <w:pPr>
        <w:autoSpaceDE w:val="0"/>
        <w:autoSpaceDN w:val="0"/>
        <w:adjustRightInd w:val="0"/>
        <w:spacing w:line="276" w:lineRule="auto"/>
        <w:jc w:val="both"/>
        <w:rPr>
          <w:rFonts w:ascii="Times-Roman" w:hAnsi="Times-Roman" w:cs="Times-Roman"/>
          <w:szCs w:val="22"/>
          <w:lang w:val="en-US"/>
        </w:rPr>
      </w:pPr>
      <w:r w:rsidRPr="00600A51">
        <w:rPr>
          <w:rFonts w:ascii="Times-Roman" w:hAnsi="Times-Roman" w:cs="Times-Roman"/>
          <w:szCs w:val="22"/>
          <w:lang w:val="en-US"/>
        </w:rPr>
        <w:t xml:space="preserve">The results across the two groups </w:t>
      </w:r>
      <w:r w:rsidR="00F57A74" w:rsidRPr="00600A51">
        <w:rPr>
          <w:rFonts w:ascii="Times-Roman" w:hAnsi="Times-Roman" w:cs="Times-Roman"/>
          <w:szCs w:val="22"/>
          <w:lang w:val="en-US"/>
        </w:rPr>
        <w:t xml:space="preserve">(2011 and 2012 groups) </w:t>
      </w:r>
      <w:r w:rsidRPr="00600A51">
        <w:rPr>
          <w:rFonts w:ascii="Times-Roman" w:hAnsi="Times-Roman" w:cs="Times-Roman"/>
          <w:szCs w:val="22"/>
          <w:lang w:val="en-US"/>
        </w:rPr>
        <w:t xml:space="preserve">were very similar. </w:t>
      </w:r>
      <w:r w:rsidR="00F57A74" w:rsidRPr="00600A51">
        <w:rPr>
          <w:rFonts w:ascii="Times-Roman" w:hAnsi="Times-Roman" w:cs="Times-Roman"/>
          <w:szCs w:val="22"/>
          <w:lang w:val="en-US"/>
        </w:rPr>
        <w:t>These observations lead to the conclusion that students enrolling for Physics as p</w:t>
      </w:r>
      <w:r w:rsidR="00A66045" w:rsidRPr="00600A51">
        <w:rPr>
          <w:rFonts w:ascii="Times-Roman" w:hAnsi="Times-Roman" w:cs="Times-Roman"/>
          <w:szCs w:val="22"/>
          <w:lang w:val="en-US"/>
        </w:rPr>
        <w:t xml:space="preserve">art of their </w:t>
      </w:r>
      <w:proofErr w:type="gramStart"/>
      <w:r w:rsidR="00A66045" w:rsidRPr="00600A51">
        <w:rPr>
          <w:rFonts w:ascii="Times-Roman" w:hAnsi="Times-Roman" w:cs="Times-Roman"/>
          <w:szCs w:val="22"/>
          <w:lang w:val="en-US"/>
        </w:rPr>
        <w:t>courses,</w:t>
      </w:r>
      <w:proofErr w:type="gramEnd"/>
      <w:r w:rsidR="00A66045" w:rsidRPr="00600A51">
        <w:rPr>
          <w:rFonts w:ascii="Times-Roman" w:hAnsi="Times-Roman" w:cs="Times-Roman"/>
          <w:szCs w:val="22"/>
          <w:lang w:val="en-US"/>
        </w:rPr>
        <w:t xml:space="preserve"> need some basic mathematical skills. For Physics module(s), these skills must be incorporated within the course itself. This was established from the comparison of the 2011 and 2012 results. </w:t>
      </w:r>
      <w:r w:rsidR="00724263" w:rsidRPr="00600A51">
        <w:rPr>
          <w:rFonts w:ascii="Times-Roman" w:hAnsi="Times-Roman" w:cs="Times-Roman"/>
          <w:szCs w:val="22"/>
          <w:lang w:val="en-US"/>
        </w:rPr>
        <w:t>It was</w:t>
      </w:r>
      <w:r w:rsidR="00A66045" w:rsidRPr="00600A51">
        <w:rPr>
          <w:rFonts w:ascii="Times-Roman" w:hAnsi="Times-Roman" w:cs="Times-Roman"/>
          <w:szCs w:val="22"/>
          <w:lang w:val="en-US"/>
        </w:rPr>
        <w:t xml:space="preserve"> revealed that teaching mathematics outside the context of Physics does not give better </w:t>
      </w:r>
      <w:proofErr w:type="gramStart"/>
      <w:r w:rsidR="00A66045" w:rsidRPr="00600A51">
        <w:rPr>
          <w:rFonts w:ascii="Times-Roman" w:hAnsi="Times-Roman" w:cs="Times-Roman"/>
          <w:szCs w:val="22"/>
          <w:lang w:val="en-US"/>
        </w:rPr>
        <w:t>results,</w:t>
      </w:r>
      <w:proofErr w:type="gramEnd"/>
      <w:r w:rsidR="00A66045" w:rsidRPr="00600A51">
        <w:rPr>
          <w:rFonts w:ascii="Times-Roman" w:hAnsi="Times-Roman" w:cs="Times-Roman"/>
          <w:szCs w:val="22"/>
          <w:lang w:val="en-US"/>
        </w:rPr>
        <w:t xml:space="preserve"> instead the results are similar to the results where these concepts were learnt within the Physics concepts. This programme has revealed that students get a chance to assimilate necessary concepts over some time and </w:t>
      </w:r>
      <w:r w:rsidR="00600A51">
        <w:rPr>
          <w:rFonts w:ascii="Times-Roman" w:hAnsi="Times-Roman" w:cs="Times-Roman"/>
          <w:szCs w:val="22"/>
          <w:lang w:val="en-US"/>
        </w:rPr>
        <w:t>they</w:t>
      </w:r>
      <w:r w:rsidR="00A66045" w:rsidRPr="00600A51">
        <w:rPr>
          <w:rFonts w:ascii="Times-Roman" w:hAnsi="Times-Roman" w:cs="Times-Roman"/>
          <w:szCs w:val="22"/>
          <w:lang w:val="en-US"/>
        </w:rPr>
        <w:t xml:space="preserve"> gain confidence in solving Physics related problems. </w:t>
      </w:r>
      <w:r w:rsidR="00724263" w:rsidRPr="00600A51">
        <w:rPr>
          <w:rFonts w:ascii="Times-Roman" w:hAnsi="Times-Roman" w:cs="Times-Roman"/>
          <w:szCs w:val="22"/>
          <w:lang w:val="en-US"/>
        </w:rPr>
        <w:t xml:space="preserve">The </w:t>
      </w:r>
      <w:proofErr w:type="gramStart"/>
      <w:r w:rsidR="00724263" w:rsidRPr="00600A51">
        <w:rPr>
          <w:rFonts w:ascii="Times-Roman" w:hAnsi="Times-Roman" w:cs="Times-Roman"/>
          <w:szCs w:val="22"/>
          <w:lang w:val="en-US"/>
        </w:rPr>
        <w:t>results obtained in 2010 indicates</w:t>
      </w:r>
      <w:proofErr w:type="gramEnd"/>
      <w:r w:rsidR="00724263" w:rsidRPr="00600A51">
        <w:rPr>
          <w:rFonts w:ascii="Times-Roman" w:hAnsi="Times-Roman" w:cs="Times-Roman"/>
          <w:szCs w:val="22"/>
          <w:lang w:val="en-US"/>
        </w:rPr>
        <w:t xml:space="preserve"> that the studen</w:t>
      </w:r>
      <w:r w:rsidR="00600A51">
        <w:rPr>
          <w:rFonts w:ascii="Times-Roman" w:hAnsi="Times-Roman" w:cs="Times-Roman"/>
          <w:szCs w:val="22"/>
          <w:lang w:val="en-US"/>
        </w:rPr>
        <w:t>ts’ performance is a bit lower</w:t>
      </w:r>
      <w:r w:rsidR="00724263" w:rsidRPr="00600A51">
        <w:rPr>
          <w:rFonts w:ascii="Times-Roman" w:hAnsi="Times-Roman" w:cs="Times-Roman"/>
          <w:szCs w:val="22"/>
          <w:lang w:val="en-US"/>
        </w:rPr>
        <w:t xml:space="preserve"> due to the lack of the treatment of basic concepts which incorporate mathematical skills and Physics related problem solving skills. The time spent in making sure that stude</w:t>
      </w:r>
      <w:r w:rsidR="00600A51">
        <w:rPr>
          <w:rFonts w:ascii="Times-Roman" w:hAnsi="Times-Roman" w:cs="Times-Roman"/>
          <w:szCs w:val="22"/>
          <w:lang w:val="en-US"/>
        </w:rPr>
        <w:t>nts grasp these concepts is very</w:t>
      </w:r>
      <w:r w:rsidR="00724263" w:rsidRPr="00600A51">
        <w:rPr>
          <w:rFonts w:ascii="Times-Roman" w:hAnsi="Times-Roman" w:cs="Times-Roman"/>
          <w:szCs w:val="22"/>
          <w:lang w:val="en-US"/>
        </w:rPr>
        <w:t xml:space="preserve"> important.</w:t>
      </w:r>
    </w:p>
    <w:p w:rsidR="00A80ED9" w:rsidRPr="00600A51" w:rsidRDefault="00C40664" w:rsidP="001D79BD">
      <w:pPr>
        <w:autoSpaceDE w:val="0"/>
        <w:autoSpaceDN w:val="0"/>
        <w:adjustRightInd w:val="0"/>
        <w:spacing w:line="276" w:lineRule="auto"/>
        <w:jc w:val="both"/>
        <w:rPr>
          <w:rFonts w:ascii="Times New Roman" w:hAnsi="Times New Roman"/>
          <w:szCs w:val="22"/>
        </w:rPr>
      </w:pPr>
      <w:r w:rsidRPr="00600A51">
        <w:rPr>
          <w:rFonts w:ascii="Times-Roman" w:hAnsi="Times-Roman" w:cs="Times-Roman"/>
          <w:szCs w:val="22"/>
          <w:lang w:val="en-US"/>
        </w:rPr>
        <w:lastRenderedPageBreak/>
        <w:t xml:space="preserve">This study recommends that, some </w:t>
      </w:r>
      <w:r w:rsidR="002B5BCF" w:rsidRPr="00600A51">
        <w:rPr>
          <w:rFonts w:ascii="Times-Roman" w:hAnsi="Times-Roman" w:cs="Times-Roman"/>
          <w:szCs w:val="22"/>
          <w:lang w:val="en-US"/>
        </w:rPr>
        <w:t xml:space="preserve">intervention be made early in the year and the amount of time allocated to understanding of basic </w:t>
      </w:r>
      <w:r w:rsidR="008436CB" w:rsidRPr="00600A51">
        <w:rPr>
          <w:rFonts w:ascii="Times-Roman" w:hAnsi="Times-Roman" w:cs="Times-Roman"/>
          <w:szCs w:val="22"/>
          <w:lang w:val="en-US"/>
        </w:rPr>
        <w:t>mechanics</w:t>
      </w:r>
      <w:r w:rsidR="002B5BCF" w:rsidRPr="00600A51">
        <w:rPr>
          <w:rFonts w:ascii="Times-Roman" w:hAnsi="Times-Roman" w:cs="Times-Roman"/>
          <w:szCs w:val="22"/>
          <w:lang w:val="en-US"/>
        </w:rPr>
        <w:t xml:space="preserve"> concepts be increased because </w:t>
      </w:r>
      <w:r w:rsidR="008436CB" w:rsidRPr="00600A51">
        <w:rPr>
          <w:rFonts w:ascii="Times-Roman" w:hAnsi="Times-Roman" w:cs="Times-Roman"/>
          <w:szCs w:val="22"/>
          <w:lang w:val="en-US"/>
        </w:rPr>
        <w:t xml:space="preserve">the mechanics concepts </w:t>
      </w:r>
      <w:r w:rsidR="002B5BCF" w:rsidRPr="00600A51">
        <w:rPr>
          <w:rFonts w:ascii="Times-Roman" w:hAnsi="Times-Roman" w:cs="Times-Roman"/>
          <w:szCs w:val="22"/>
          <w:lang w:val="en-US"/>
        </w:rPr>
        <w:t>are the core in introductory first year physics.</w:t>
      </w:r>
      <w:r w:rsidR="002B5BCF" w:rsidRPr="00600A51">
        <w:rPr>
          <w:rFonts w:ascii="Times New Roman" w:hAnsi="Times New Roman"/>
          <w:szCs w:val="22"/>
        </w:rPr>
        <w:t xml:space="preserve"> </w:t>
      </w:r>
      <w:r w:rsidR="008436CB" w:rsidRPr="00600A51">
        <w:rPr>
          <w:rFonts w:ascii="Times New Roman" w:hAnsi="Times New Roman"/>
          <w:szCs w:val="22"/>
        </w:rPr>
        <w:t xml:space="preserve">We hope that the recommendations will enhance maximum pass rate and throughput and hence more students will enrol for physics in the second semester of their first year. </w:t>
      </w:r>
    </w:p>
    <w:p w:rsidR="00A80ED9" w:rsidRPr="00600A51" w:rsidRDefault="00A80ED9" w:rsidP="00A80ED9">
      <w:pPr>
        <w:pStyle w:val="BodytextIndented"/>
        <w:rPr>
          <w:lang w:val="en-GB"/>
        </w:rPr>
      </w:pPr>
    </w:p>
    <w:p w:rsidR="00E1098D" w:rsidRDefault="00E1098D" w:rsidP="00E1098D">
      <w:pPr>
        <w:pStyle w:val="Section"/>
        <w:rPr>
          <w:sz w:val="24"/>
          <w:szCs w:val="24"/>
          <w:lang w:val="en-US"/>
        </w:rPr>
      </w:pPr>
      <w:r w:rsidRPr="009C4792">
        <w:rPr>
          <w:sz w:val="24"/>
          <w:szCs w:val="24"/>
          <w:lang w:val="en-US"/>
        </w:rPr>
        <w:t>Acknowledgements</w:t>
      </w:r>
    </w:p>
    <w:p w:rsidR="00724263" w:rsidRPr="00600A51" w:rsidRDefault="00724263" w:rsidP="00724263">
      <w:pPr>
        <w:pStyle w:val="Bodytext"/>
      </w:pPr>
      <w:r w:rsidRPr="00600A51">
        <w:t xml:space="preserve">The authors acknowledge the assistance received from the members of Physics Department at University of Johannesburg. </w:t>
      </w:r>
    </w:p>
    <w:p w:rsidR="00E1098D" w:rsidRDefault="00E1098D" w:rsidP="00E1098D">
      <w:pPr>
        <w:pStyle w:val="BodytextIndented"/>
        <w:ind w:firstLine="0"/>
      </w:pPr>
    </w:p>
    <w:p w:rsidR="00122785" w:rsidRDefault="00122785">
      <w:pPr>
        <w:pStyle w:val="Sectionnonumber"/>
      </w:pPr>
      <w:r>
        <w:t>References</w:t>
      </w:r>
    </w:p>
    <w:p w:rsidR="00684038" w:rsidRPr="00684038" w:rsidRDefault="00684038" w:rsidP="00684038">
      <w:pPr>
        <w:pStyle w:val="Bodytext"/>
      </w:pPr>
    </w:p>
    <w:p w:rsidR="00974905" w:rsidRDefault="00974905" w:rsidP="00974905">
      <w:pPr>
        <w:autoSpaceDE w:val="0"/>
        <w:autoSpaceDN w:val="0"/>
        <w:adjustRightInd w:val="0"/>
        <w:spacing w:line="360" w:lineRule="auto"/>
        <w:rPr>
          <w:rFonts w:ascii="CMR10" w:hAnsi="CMR10" w:cs="CMR10"/>
          <w:szCs w:val="22"/>
          <w:lang w:val="en-ZA" w:eastAsia="en-ZA"/>
        </w:rPr>
      </w:pPr>
      <w:r>
        <w:t>[1]</w:t>
      </w:r>
      <w:r w:rsidRPr="00891F49">
        <w:rPr>
          <w:rFonts w:ascii="CMR10" w:hAnsi="CMR10" w:cs="CMR10"/>
          <w:szCs w:val="22"/>
          <w:lang w:val="en-ZA" w:eastAsia="en-ZA"/>
        </w:rPr>
        <w:t xml:space="preserve"> </w:t>
      </w:r>
      <w:r>
        <w:rPr>
          <w:rFonts w:ascii="CMR10" w:hAnsi="CMR10" w:cs="CMR10"/>
          <w:szCs w:val="22"/>
          <w:lang w:val="en-ZA" w:eastAsia="en-ZA"/>
        </w:rPr>
        <w:t xml:space="preserve">Sondezi-Mhlungu B M and Molefe P, Foundation Provision: Any Difference in Student’s Performance? </w:t>
      </w:r>
      <w:proofErr w:type="gramStart"/>
      <w:r>
        <w:rPr>
          <w:rFonts w:ascii="CMR10" w:hAnsi="CMR10" w:cs="CMR10"/>
          <w:szCs w:val="22"/>
          <w:lang w:val="en-ZA" w:eastAsia="en-ZA"/>
        </w:rPr>
        <w:t xml:space="preserve">(2011) </w:t>
      </w:r>
      <w:r>
        <w:rPr>
          <w:rFonts w:ascii="CMTI10" w:hAnsi="CMTI10" w:cs="CMTI10"/>
          <w:i/>
          <w:iCs/>
          <w:szCs w:val="22"/>
          <w:lang w:val="en-ZA" w:eastAsia="en-ZA"/>
        </w:rPr>
        <w:t>56th Annual Conference of South African Institute of Physics Proceedings.</w:t>
      </w:r>
      <w:proofErr w:type="gramEnd"/>
    </w:p>
    <w:p w:rsidR="00CA1586" w:rsidRPr="00CA1586" w:rsidRDefault="00CA1586" w:rsidP="00974905">
      <w:pPr>
        <w:pStyle w:val="Reference"/>
        <w:numPr>
          <w:ilvl w:val="0"/>
          <w:numId w:val="0"/>
        </w:numPr>
        <w:ind w:left="851" w:hanging="851"/>
      </w:pPr>
    </w:p>
    <w:sectPr w:rsidR="00CA1586" w:rsidRPr="00CA1586">
      <w:headerReference w:type="default" r:id="rId14"/>
      <w:footerReference w:type="even" r:id="rId15"/>
      <w:footerReference w:type="default" r:id="rId16"/>
      <w:footnotePr>
        <w:pos w:val="beneathText"/>
      </w:footnotePr>
      <w:endnotePr>
        <w:numFmt w:val="chicago"/>
        <w:numStart w:val="4"/>
      </w:endnotePr>
      <w:pgSz w:w="11907" w:h="16840" w:code="9"/>
      <w:pgMar w:top="2268" w:right="1418" w:bottom="1531" w:left="1418" w:header="0"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ndezi, Buyisiwe" w:date="2014-11-24T19:46:00Z" w:initials="SB">
    <w:p w:rsidR="00E30454" w:rsidRDefault="00E30454">
      <w:pPr>
        <w:pStyle w:val="CommentText"/>
      </w:pPr>
      <w:r>
        <w:rPr>
          <w:rStyle w:val="CommentReference"/>
        </w:rPr>
        <w:annotationRef/>
      </w:r>
      <w:r w:rsidR="005A4393">
        <w:t>This was established after these two major changes were implemented. We cannot attribute our results on anything else other than these factors that were introduced.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B3B" w:rsidRDefault="003D2B3B">
      <w:r>
        <w:separator/>
      </w:r>
    </w:p>
  </w:endnote>
  <w:endnote w:type="continuationSeparator" w:id="0">
    <w:p w:rsidR="003D2B3B" w:rsidRDefault="003D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abon">
    <w:altName w:val="Courier"/>
    <w:charset w:val="00"/>
    <w:family w:val="auto"/>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MR10">
    <w:panose1 w:val="00000000000000000000"/>
    <w:charset w:val="00"/>
    <w:family w:val="roman"/>
    <w:notTrueType/>
    <w:pitch w:val="default"/>
    <w:sig w:usb0="00000003" w:usb1="00000000" w:usb2="00000000" w:usb3="00000000" w:csb0="00000001" w:csb1="00000000"/>
  </w:font>
  <w:font w:name="CMTI1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AB" w:rsidRDefault="008D57AB" w:rsidP="00122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7AB" w:rsidRDefault="008D5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AB" w:rsidRDefault="008D57AB" w:rsidP="00122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1A5">
      <w:rPr>
        <w:rStyle w:val="PageNumber"/>
        <w:noProof/>
      </w:rPr>
      <w:t>6</w:t>
    </w:r>
    <w:r>
      <w:rPr>
        <w:rStyle w:val="PageNumber"/>
      </w:rPr>
      <w:fldChar w:fldCharType="end"/>
    </w:r>
  </w:p>
  <w:p w:rsidR="008D57AB" w:rsidRDefault="008D5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B3B" w:rsidRPr="00043761" w:rsidRDefault="003D2B3B">
      <w:pPr>
        <w:pStyle w:val="Bulleted"/>
        <w:numPr>
          <w:ilvl w:val="0"/>
          <w:numId w:val="0"/>
        </w:numPr>
        <w:rPr>
          <w:rFonts w:ascii="Sabon" w:hAnsi="Sabon"/>
          <w:color w:val="auto"/>
          <w:szCs w:val="20"/>
        </w:rPr>
      </w:pPr>
      <w:r>
        <w:separator/>
      </w:r>
    </w:p>
  </w:footnote>
  <w:footnote w:type="continuationSeparator" w:id="0">
    <w:p w:rsidR="003D2B3B" w:rsidRDefault="003D2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AB" w:rsidRDefault="008D57AB"/>
  <w:p w:rsidR="008D57AB" w:rsidRDefault="008D57AB"/>
  <w:p w:rsidR="008D57AB" w:rsidRDefault="008D57AB"/>
  <w:p w:rsidR="008D57AB" w:rsidRDefault="008D57AB"/>
  <w:p w:rsidR="008D57AB" w:rsidRDefault="008D57AB"/>
  <w:p w:rsidR="008D57AB" w:rsidRDefault="008D57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C17687B0"/>
    <w:lvl w:ilvl="0">
      <w:start w:val="1"/>
      <w:numFmt w:val="decimal"/>
      <w:pStyle w:val="Section"/>
      <w:suff w:val="nothing"/>
      <w:lvlText w:val="%1.  "/>
      <w:lvlJc w:val="left"/>
      <w:pPr>
        <w:ind w:left="90" w:firstLine="0"/>
      </w:pPr>
      <w:rPr>
        <w:rFonts w:hint="default"/>
      </w:rPr>
    </w:lvl>
    <w:lvl w:ilvl="1">
      <w:start w:val="1"/>
      <w:numFmt w:val="decimal"/>
      <w:pStyle w:val="Subsection"/>
      <w:suff w:val="nothing"/>
      <w:lvlText w:val="%1.%2.  "/>
      <w:lvlJc w:val="left"/>
      <w:pPr>
        <w:ind w:left="27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B90A6DC0"/>
    <w:lvl w:ilvl="0" w:tplc="ECA4116A">
      <w:start w:val="1"/>
      <w:numFmt w:val="decimal"/>
      <w:pStyle w:val="Reference"/>
      <w:lvlText w:val="[%1]"/>
      <w:lvlJc w:val="left"/>
      <w:pPr>
        <w:tabs>
          <w:tab w:val="num" w:pos="0"/>
        </w:tabs>
        <w:ind w:left="0" w:firstLine="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FF09B4"/>
    <w:multiLevelType w:val="multilevel"/>
    <w:tmpl w:val="4A40E702"/>
    <w:lvl w:ilvl="0">
      <w:start w:val="1"/>
      <w:numFmt w:val="decimal"/>
      <w:pStyle w:val="section0"/>
      <w:suff w:val="space"/>
      <w:lvlText w:val="%1."/>
      <w:lvlJc w:val="left"/>
      <w:pPr>
        <w:ind w:left="0" w:firstLine="0"/>
      </w:pPr>
      <w:rPr>
        <w:rFonts w:hint="default"/>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ZA" w:vendorID="64" w:dllVersion="131078" w:nlCheck="1" w:checkStyle="1"/>
  <w:proofState w:grammar="clean"/>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117A8C"/>
    <w:rsid w:val="00000325"/>
    <w:rsid w:val="00007AD1"/>
    <w:rsid w:val="00012BD1"/>
    <w:rsid w:val="00020296"/>
    <w:rsid w:val="00021200"/>
    <w:rsid w:val="00037E50"/>
    <w:rsid w:val="000445FB"/>
    <w:rsid w:val="000504C7"/>
    <w:rsid w:val="000546D2"/>
    <w:rsid w:val="00056AF9"/>
    <w:rsid w:val="00064675"/>
    <w:rsid w:val="00097971"/>
    <w:rsid w:val="00097FEC"/>
    <w:rsid w:val="000C1FDB"/>
    <w:rsid w:val="000E44A6"/>
    <w:rsid w:val="000F79FD"/>
    <w:rsid w:val="00117A8C"/>
    <w:rsid w:val="00122785"/>
    <w:rsid w:val="001269D8"/>
    <w:rsid w:val="001336C8"/>
    <w:rsid w:val="0013778C"/>
    <w:rsid w:val="00141DA3"/>
    <w:rsid w:val="00172A08"/>
    <w:rsid w:val="00184251"/>
    <w:rsid w:val="00185796"/>
    <w:rsid w:val="001A41BE"/>
    <w:rsid w:val="001A63E0"/>
    <w:rsid w:val="001A7340"/>
    <w:rsid w:val="001C2048"/>
    <w:rsid w:val="001D757D"/>
    <w:rsid w:val="001D79BD"/>
    <w:rsid w:val="001F4E1F"/>
    <w:rsid w:val="00200149"/>
    <w:rsid w:val="00201876"/>
    <w:rsid w:val="002057A8"/>
    <w:rsid w:val="00230E06"/>
    <w:rsid w:val="00234BC1"/>
    <w:rsid w:val="00240B2D"/>
    <w:rsid w:val="00254840"/>
    <w:rsid w:val="002716E4"/>
    <w:rsid w:val="002742AE"/>
    <w:rsid w:val="00274CD8"/>
    <w:rsid w:val="00274FEB"/>
    <w:rsid w:val="002830F0"/>
    <w:rsid w:val="0028467B"/>
    <w:rsid w:val="0029331B"/>
    <w:rsid w:val="002946FD"/>
    <w:rsid w:val="002B5BCF"/>
    <w:rsid w:val="002C1F21"/>
    <w:rsid w:val="002F04E0"/>
    <w:rsid w:val="00307A0A"/>
    <w:rsid w:val="003237A0"/>
    <w:rsid w:val="00365113"/>
    <w:rsid w:val="00374479"/>
    <w:rsid w:val="003A008D"/>
    <w:rsid w:val="003C1FBB"/>
    <w:rsid w:val="003D2B3B"/>
    <w:rsid w:val="003E18CD"/>
    <w:rsid w:val="003E41DB"/>
    <w:rsid w:val="003E73BF"/>
    <w:rsid w:val="003F6631"/>
    <w:rsid w:val="00405B04"/>
    <w:rsid w:val="004079EC"/>
    <w:rsid w:val="00423225"/>
    <w:rsid w:val="004439E3"/>
    <w:rsid w:val="00445842"/>
    <w:rsid w:val="00446B9D"/>
    <w:rsid w:val="00460E07"/>
    <w:rsid w:val="00465569"/>
    <w:rsid w:val="00466A88"/>
    <w:rsid w:val="00471783"/>
    <w:rsid w:val="00473B09"/>
    <w:rsid w:val="00485A19"/>
    <w:rsid w:val="0049339F"/>
    <w:rsid w:val="00501D0E"/>
    <w:rsid w:val="00503E06"/>
    <w:rsid w:val="00507B70"/>
    <w:rsid w:val="00523223"/>
    <w:rsid w:val="00540A1F"/>
    <w:rsid w:val="00552186"/>
    <w:rsid w:val="005557A9"/>
    <w:rsid w:val="0057320A"/>
    <w:rsid w:val="00573575"/>
    <w:rsid w:val="005754CC"/>
    <w:rsid w:val="005A1D58"/>
    <w:rsid w:val="005A42DA"/>
    <w:rsid w:val="005A4393"/>
    <w:rsid w:val="005C1F1E"/>
    <w:rsid w:val="005C5F39"/>
    <w:rsid w:val="005D27AC"/>
    <w:rsid w:val="005F36AC"/>
    <w:rsid w:val="005F7363"/>
    <w:rsid w:val="00600A51"/>
    <w:rsid w:val="00603FFD"/>
    <w:rsid w:val="006068DD"/>
    <w:rsid w:val="00607E39"/>
    <w:rsid w:val="00616CC6"/>
    <w:rsid w:val="006213A1"/>
    <w:rsid w:val="006366B4"/>
    <w:rsid w:val="00650D93"/>
    <w:rsid w:val="00652001"/>
    <w:rsid w:val="00664587"/>
    <w:rsid w:val="00666996"/>
    <w:rsid w:val="00681321"/>
    <w:rsid w:val="00684038"/>
    <w:rsid w:val="00690F4D"/>
    <w:rsid w:val="00695E47"/>
    <w:rsid w:val="006B445B"/>
    <w:rsid w:val="006B5D5E"/>
    <w:rsid w:val="006B6D40"/>
    <w:rsid w:val="006B7C15"/>
    <w:rsid w:val="006E4F57"/>
    <w:rsid w:val="006F2389"/>
    <w:rsid w:val="006F6289"/>
    <w:rsid w:val="006F6E54"/>
    <w:rsid w:val="007047D8"/>
    <w:rsid w:val="007060F5"/>
    <w:rsid w:val="00721035"/>
    <w:rsid w:val="00724263"/>
    <w:rsid w:val="00725154"/>
    <w:rsid w:val="00725B03"/>
    <w:rsid w:val="00731606"/>
    <w:rsid w:val="007326CD"/>
    <w:rsid w:val="007441F8"/>
    <w:rsid w:val="00744F4B"/>
    <w:rsid w:val="007512D4"/>
    <w:rsid w:val="00764AD2"/>
    <w:rsid w:val="00776E8B"/>
    <w:rsid w:val="00783623"/>
    <w:rsid w:val="00792E78"/>
    <w:rsid w:val="007933E9"/>
    <w:rsid w:val="007A0353"/>
    <w:rsid w:val="007D0AD3"/>
    <w:rsid w:val="007D1060"/>
    <w:rsid w:val="007E1ACE"/>
    <w:rsid w:val="007F36E3"/>
    <w:rsid w:val="00807FCD"/>
    <w:rsid w:val="00840471"/>
    <w:rsid w:val="008436CB"/>
    <w:rsid w:val="008436E2"/>
    <w:rsid w:val="00864CEC"/>
    <w:rsid w:val="00890222"/>
    <w:rsid w:val="008A29E3"/>
    <w:rsid w:val="008C3279"/>
    <w:rsid w:val="008C59E3"/>
    <w:rsid w:val="008D372A"/>
    <w:rsid w:val="008D57AB"/>
    <w:rsid w:val="008E326F"/>
    <w:rsid w:val="008E3FB3"/>
    <w:rsid w:val="009122B0"/>
    <w:rsid w:val="00927C6D"/>
    <w:rsid w:val="009460EE"/>
    <w:rsid w:val="0095091A"/>
    <w:rsid w:val="00973E74"/>
    <w:rsid w:val="00974905"/>
    <w:rsid w:val="009866E7"/>
    <w:rsid w:val="009A1BCE"/>
    <w:rsid w:val="009A1DC5"/>
    <w:rsid w:val="009C4792"/>
    <w:rsid w:val="009D7300"/>
    <w:rsid w:val="009E1F87"/>
    <w:rsid w:val="00A0423A"/>
    <w:rsid w:val="00A115F3"/>
    <w:rsid w:val="00A12479"/>
    <w:rsid w:val="00A13E1F"/>
    <w:rsid w:val="00A2411B"/>
    <w:rsid w:val="00A52B04"/>
    <w:rsid w:val="00A531A5"/>
    <w:rsid w:val="00A57542"/>
    <w:rsid w:val="00A66045"/>
    <w:rsid w:val="00A80ED9"/>
    <w:rsid w:val="00A965D1"/>
    <w:rsid w:val="00AA483D"/>
    <w:rsid w:val="00AB2C4B"/>
    <w:rsid w:val="00AB598C"/>
    <w:rsid w:val="00AB78F3"/>
    <w:rsid w:val="00AC238D"/>
    <w:rsid w:val="00AC5856"/>
    <w:rsid w:val="00AD1ABC"/>
    <w:rsid w:val="00AF79FE"/>
    <w:rsid w:val="00B017AB"/>
    <w:rsid w:val="00B25BC2"/>
    <w:rsid w:val="00B25F19"/>
    <w:rsid w:val="00B50DC3"/>
    <w:rsid w:val="00B54C49"/>
    <w:rsid w:val="00B643A6"/>
    <w:rsid w:val="00B74BCB"/>
    <w:rsid w:val="00B81108"/>
    <w:rsid w:val="00B9275E"/>
    <w:rsid w:val="00B9425F"/>
    <w:rsid w:val="00BB005B"/>
    <w:rsid w:val="00BB0EC0"/>
    <w:rsid w:val="00BB37B6"/>
    <w:rsid w:val="00BD26B1"/>
    <w:rsid w:val="00BE0617"/>
    <w:rsid w:val="00BF6ADC"/>
    <w:rsid w:val="00C13B2B"/>
    <w:rsid w:val="00C21E74"/>
    <w:rsid w:val="00C40664"/>
    <w:rsid w:val="00C5632E"/>
    <w:rsid w:val="00C67B82"/>
    <w:rsid w:val="00C7073F"/>
    <w:rsid w:val="00C80A70"/>
    <w:rsid w:val="00C810E1"/>
    <w:rsid w:val="00CA1586"/>
    <w:rsid w:val="00CC3A07"/>
    <w:rsid w:val="00CC65D9"/>
    <w:rsid w:val="00CE242A"/>
    <w:rsid w:val="00CE30B5"/>
    <w:rsid w:val="00CF7FB5"/>
    <w:rsid w:val="00D0175D"/>
    <w:rsid w:val="00D018D0"/>
    <w:rsid w:val="00D17053"/>
    <w:rsid w:val="00D215DC"/>
    <w:rsid w:val="00D33B83"/>
    <w:rsid w:val="00D417D4"/>
    <w:rsid w:val="00D4636F"/>
    <w:rsid w:val="00D46D12"/>
    <w:rsid w:val="00D67029"/>
    <w:rsid w:val="00D83BF4"/>
    <w:rsid w:val="00DA5836"/>
    <w:rsid w:val="00DA64B5"/>
    <w:rsid w:val="00DB041A"/>
    <w:rsid w:val="00DB64DE"/>
    <w:rsid w:val="00DD2831"/>
    <w:rsid w:val="00DD6312"/>
    <w:rsid w:val="00DF21E6"/>
    <w:rsid w:val="00DF6314"/>
    <w:rsid w:val="00E1098D"/>
    <w:rsid w:val="00E27BE1"/>
    <w:rsid w:val="00E30454"/>
    <w:rsid w:val="00E3728E"/>
    <w:rsid w:val="00E43710"/>
    <w:rsid w:val="00E44F0E"/>
    <w:rsid w:val="00E4651B"/>
    <w:rsid w:val="00E555D3"/>
    <w:rsid w:val="00E556B1"/>
    <w:rsid w:val="00E65516"/>
    <w:rsid w:val="00E70473"/>
    <w:rsid w:val="00E7073A"/>
    <w:rsid w:val="00EA5464"/>
    <w:rsid w:val="00EC0C5C"/>
    <w:rsid w:val="00EC2D59"/>
    <w:rsid w:val="00EC4D55"/>
    <w:rsid w:val="00EE1E2E"/>
    <w:rsid w:val="00EE3224"/>
    <w:rsid w:val="00EE7805"/>
    <w:rsid w:val="00F06B56"/>
    <w:rsid w:val="00F30A75"/>
    <w:rsid w:val="00F35214"/>
    <w:rsid w:val="00F43D3B"/>
    <w:rsid w:val="00F5508E"/>
    <w:rsid w:val="00F57A74"/>
    <w:rsid w:val="00F75FB2"/>
    <w:rsid w:val="00F76043"/>
    <w:rsid w:val="00F764D6"/>
    <w:rsid w:val="00FA2FD0"/>
    <w:rsid w:val="00FA45C7"/>
    <w:rsid w:val="00FA5030"/>
    <w:rsid w:val="00FB784E"/>
    <w:rsid w:val="00FC525D"/>
    <w:rsid w:val="00FE16E7"/>
    <w:rsid w:val="00FF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eastAsia="en-US" w:bidi="ar-SA"/>
    </w:rPr>
  </w:style>
  <w:style w:type="paragraph" w:customStyle="1" w:styleId="Section">
    <w:name w:val="Section"/>
    <w:next w:val="Bodytext"/>
    <w:link w:val="SectionChar"/>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link w:val="SubsectionChar"/>
    <w:pPr>
      <w:numPr>
        <w:ilvl w:val="1"/>
        <w:numId w:val="3"/>
      </w:numPr>
      <w:spacing w:before="240"/>
      <w:ind w:left="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paragraph" w:styleId="CommentText">
    <w:name w:val="annotation text"/>
    <w:basedOn w:val="Normal"/>
    <w:link w:val="CommentTextChar"/>
    <w:semiHidden/>
    <w:unhideWhenUsed/>
    <w:rsid w:val="00097FEC"/>
    <w:pPr>
      <w:spacing w:after="200" w:line="276" w:lineRule="auto"/>
    </w:pPr>
    <w:rPr>
      <w:rFonts w:ascii="Calibri" w:eastAsia="Calibri" w:hAnsi="Calibri"/>
      <w:sz w:val="20"/>
      <w:lang w:val="en-US"/>
    </w:rPr>
  </w:style>
  <w:style w:type="character" w:customStyle="1" w:styleId="CommentTextChar">
    <w:name w:val="Comment Text Char"/>
    <w:link w:val="CommentText"/>
    <w:semiHidden/>
    <w:rsid w:val="00097FEC"/>
    <w:rPr>
      <w:rFonts w:ascii="Calibri" w:eastAsia="Calibri" w:hAnsi="Calibri"/>
      <w:lang w:val="en-US" w:eastAsia="en-US" w:bidi="ar-SA"/>
    </w:rPr>
  </w:style>
  <w:style w:type="paragraph" w:styleId="BalloonText">
    <w:name w:val="Balloon Text"/>
    <w:basedOn w:val="Normal"/>
    <w:semiHidden/>
    <w:rsid w:val="00466A88"/>
    <w:rPr>
      <w:rFonts w:ascii="Tahoma" w:hAnsi="Tahoma" w:cs="Tahoma"/>
      <w:sz w:val="16"/>
      <w:szCs w:val="16"/>
    </w:rPr>
  </w:style>
  <w:style w:type="paragraph" w:styleId="ListParagraph">
    <w:name w:val="List Paragraph"/>
    <w:basedOn w:val="Normal"/>
    <w:qFormat/>
    <w:rsid w:val="002742AE"/>
    <w:pPr>
      <w:spacing w:after="200" w:line="276" w:lineRule="auto"/>
      <w:ind w:left="720"/>
      <w:contextualSpacing/>
    </w:pPr>
    <w:rPr>
      <w:rFonts w:ascii="Calibri" w:eastAsia="Calibri" w:hAnsi="Calibri"/>
      <w:szCs w:val="22"/>
      <w:lang w:val="en-US"/>
    </w:rPr>
  </w:style>
  <w:style w:type="character" w:customStyle="1" w:styleId="SubsectionChar">
    <w:name w:val="Subsection Char"/>
    <w:link w:val="Subsection"/>
    <w:rsid w:val="002742AE"/>
    <w:rPr>
      <w:rFonts w:ascii="Times" w:hAnsi="Times"/>
      <w:iCs/>
      <w:color w:val="000000"/>
      <w:sz w:val="22"/>
      <w:szCs w:val="22"/>
      <w:lang w:val="en-GB" w:eastAsia="en-US" w:bidi="ar-SA"/>
    </w:rPr>
  </w:style>
  <w:style w:type="character" w:customStyle="1" w:styleId="SectionChar">
    <w:name w:val="Section Char"/>
    <w:link w:val="Section"/>
    <w:rsid w:val="002742AE"/>
    <w:rPr>
      <w:rFonts w:ascii="Times" w:hAnsi="Times"/>
      <w:b/>
      <w:iCs/>
      <w:color w:val="000000"/>
      <w:sz w:val="22"/>
      <w:szCs w:val="22"/>
      <w:lang w:val="en-GB" w:eastAsia="en-US" w:bidi="ar-SA"/>
    </w:rPr>
  </w:style>
  <w:style w:type="paragraph" w:styleId="Footer">
    <w:name w:val="footer"/>
    <w:basedOn w:val="Normal"/>
    <w:rsid w:val="00445842"/>
    <w:pPr>
      <w:tabs>
        <w:tab w:val="center" w:pos="4320"/>
        <w:tab w:val="right" w:pos="8640"/>
      </w:tabs>
    </w:pPr>
  </w:style>
  <w:style w:type="paragraph" w:customStyle="1" w:styleId="subsection0">
    <w:name w:val="subsection"/>
    <w:rsid w:val="003E18CD"/>
    <w:pPr>
      <w:numPr>
        <w:ilvl w:val="1"/>
        <w:numId w:val="5"/>
      </w:numPr>
      <w:tabs>
        <w:tab w:val="left" w:pos="567"/>
      </w:tabs>
      <w:spacing w:before="240"/>
    </w:pPr>
    <w:rPr>
      <w:rFonts w:ascii="Times" w:hAnsi="Times"/>
      <w:i/>
      <w:iCs/>
      <w:color w:val="000000"/>
      <w:sz w:val="22"/>
      <w:szCs w:val="22"/>
    </w:rPr>
  </w:style>
  <w:style w:type="paragraph" w:customStyle="1" w:styleId="section0">
    <w:name w:val="section"/>
    <w:link w:val="sectionChar0"/>
    <w:autoRedefine/>
    <w:rsid w:val="003E18CD"/>
    <w:pPr>
      <w:numPr>
        <w:numId w:val="5"/>
      </w:numPr>
      <w:tabs>
        <w:tab w:val="left" w:pos="567"/>
      </w:tabs>
      <w:spacing w:before="240"/>
    </w:pPr>
    <w:rPr>
      <w:rFonts w:ascii="Times" w:hAnsi="Times"/>
      <w:b/>
      <w:color w:val="000000"/>
      <w:sz w:val="22"/>
      <w:szCs w:val="22"/>
      <w:lang w:val="en-GB"/>
    </w:rPr>
  </w:style>
  <w:style w:type="paragraph" w:customStyle="1" w:styleId="subsubsection0">
    <w:name w:val="subsubsection"/>
    <w:autoRedefine/>
    <w:rsid w:val="003E18CD"/>
    <w:pPr>
      <w:numPr>
        <w:ilvl w:val="2"/>
        <w:numId w:val="5"/>
      </w:numPr>
      <w:tabs>
        <w:tab w:val="left" w:pos="567"/>
      </w:tabs>
      <w:spacing w:before="240"/>
      <w:ind w:left="0" w:firstLine="0"/>
      <w:jc w:val="both"/>
    </w:pPr>
    <w:rPr>
      <w:rFonts w:ascii="Times" w:hAnsi="Times"/>
      <w:i/>
      <w:iCs/>
      <w:color w:val="000000"/>
      <w:sz w:val="22"/>
      <w:szCs w:val="22"/>
    </w:rPr>
  </w:style>
  <w:style w:type="character" w:customStyle="1" w:styleId="sectionChar0">
    <w:name w:val="section Char"/>
    <w:link w:val="section0"/>
    <w:rsid w:val="003E18CD"/>
    <w:rPr>
      <w:rFonts w:ascii="Times" w:hAnsi="Times"/>
      <w:b/>
      <w:color w:val="000000"/>
      <w:sz w:val="22"/>
      <w:szCs w:val="22"/>
      <w:lang w:val="en-GB" w:eastAsia="en-US" w:bidi="ar-SA"/>
    </w:rPr>
  </w:style>
  <w:style w:type="character" w:styleId="Hyperlink">
    <w:name w:val="Hyperlink"/>
    <w:rsid w:val="00695E47"/>
    <w:rPr>
      <w:color w:val="0000FF"/>
      <w:u w:val="single"/>
    </w:rPr>
  </w:style>
  <w:style w:type="character" w:styleId="CommentReference">
    <w:name w:val="annotation reference"/>
    <w:rsid w:val="00AF79FE"/>
    <w:rPr>
      <w:sz w:val="16"/>
      <w:szCs w:val="16"/>
    </w:rPr>
  </w:style>
  <w:style w:type="paragraph" w:styleId="CommentSubject">
    <w:name w:val="annotation subject"/>
    <w:basedOn w:val="CommentText"/>
    <w:next w:val="CommentText"/>
    <w:link w:val="CommentSubjectChar"/>
    <w:rsid w:val="00AF79FE"/>
    <w:pPr>
      <w:spacing w:after="0" w:line="240" w:lineRule="auto"/>
    </w:pPr>
    <w:rPr>
      <w:rFonts w:ascii="Times" w:eastAsia="Times New Roman" w:hAnsi="Times"/>
      <w:b/>
      <w:bCs/>
      <w:lang w:val="en-GB"/>
    </w:rPr>
  </w:style>
  <w:style w:type="character" w:customStyle="1" w:styleId="CommentSubjectChar">
    <w:name w:val="Comment Subject Char"/>
    <w:link w:val="CommentSubject"/>
    <w:rsid w:val="00AF79FE"/>
    <w:rPr>
      <w:rFonts w:ascii="Times" w:eastAsia="Calibri" w:hAnsi="Times"/>
      <w:b/>
      <w:bCs/>
      <w:lang w:val="en-GB" w:eastAsia="en-US" w:bidi="ar-SA"/>
    </w:rPr>
  </w:style>
  <w:style w:type="paragraph" w:styleId="Header">
    <w:name w:val="header"/>
    <w:basedOn w:val="Normal"/>
    <w:link w:val="HeaderChar"/>
    <w:rsid w:val="009122B0"/>
    <w:pPr>
      <w:tabs>
        <w:tab w:val="center" w:pos="4680"/>
        <w:tab w:val="right" w:pos="9360"/>
      </w:tabs>
    </w:pPr>
  </w:style>
  <w:style w:type="character" w:customStyle="1" w:styleId="HeaderChar">
    <w:name w:val="Header Char"/>
    <w:link w:val="Header"/>
    <w:rsid w:val="009122B0"/>
    <w:rPr>
      <w:rFonts w:ascii="Times" w:hAnsi="Times"/>
      <w:sz w:val="22"/>
      <w:lang w:val="en-GB"/>
    </w:rPr>
  </w:style>
  <w:style w:type="paragraph" w:customStyle="1" w:styleId="3text">
    <w:name w:val="3text"/>
    <w:basedOn w:val="Normal"/>
    <w:rsid w:val="00A965D1"/>
    <w:pPr>
      <w:spacing w:before="100" w:beforeAutospacing="1" w:after="100" w:afterAutospacing="1"/>
    </w:pPr>
    <w:rPr>
      <w:rFonts w:ascii="Times New Roman" w:hAnsi="Times New Roman"/>
      <w:sz w:val="24"/>
      <w:szCs w:val="24"/>
      <w:lang w:val="en-US" w:eastAsia="en-ZA"/>
    </w:rPr>
  </w:style>
  <w:style w:type="paragraph" w:customStyle="1" w:styleId="UJContentText">
    <w:name w:val="UJ Content Text"/>
    <w:link w:val="UJContentTextCharChar"/>
    <w:rsid w:val="005F36AC"/>
    <w:pPr>
      <w:spacing w:after="120" w:line="360" w:lineRule="auto"/>
      <w:ind w:left="340"/>
    </w:pPr>
    <w:rPr>
      <w:sz w:val="24"/>
      <w:szCs w:val="24"/>
      <w:lang w:val="en-ZA"/>
    </w:rPr>
  </w:style>
  <w:style w:type="character" w:customStyle="1" w:styleId="UJContentTextCharChar">
    <w:name w:val="UJ Content Text Char Char"/>
    <w:link w:val="UJContentText"/>
    <w:rsid w:val="005F36AC"/>
    <w:rPr>
      <w:sz w:val="24"/>
      <w:szCs w:val="24"/>
      <w:lang w:val="en-ZA" w:eastAsia="en-US" w:bidi="ar-SA"/>
    </w:rPr>
  </w:style>
  <w:style w:type="paragraph" w:styleId="NormalWeb">
    <w:name w:val="Normal (Web)"/>
    <w:basedOn w:val="Normal"/>
    <w:rsid w:val="003E73BF"/>
    <w:pPr>
      <w:spacing w:before="100" w:beforeAutospacing="1" w:after="100" w:afterAutospacing="1"/>
    </w:pPr>
    <w:rPr>
      <w:rFonts w:ascii="Times New Roman" w:hAnsi="Times New Roman"/>
      <w:sz w:val="24"/>
      <w:szCs w:val="24"/>
      <w:lang w:val="en-US"/>
    </w:rPr>
  </w:style>
  <w:style w:type="character" w:customStyle="1" w:styleId="apple-converted-space">
    <w:name w:val="apple-converted-space"/>
    <w:basedOn w:val="DefaultParagraphFont"/>
    <w:rsid w:val="003E73BF"/>
  </w:style>
  <w:style w:type="character" w:customStyle="1" w:styleId="questionnumberautoquestionnumber">
    <w:name w:val="questionnumber autoquestionnumber"/>
    <w:basedOn w:val="DefaultParagraphFont"/>
    <w:rsid w:val="003E73BF"/>
  </w:style>
  <w:style w:type="table" w:styleId="TableGrid">
    <w:name w:val="Table Grid"/>
    <w:basedOn w:val="TableNormal"/>
    <w:uiPriority w:val="59"/>
    <w:rsid w:val="00FB784E"/>
    <w:pPr>
      <w:ind w:left="1224" w:hanging="360"/>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C585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sondezi@uj.ac.za"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AIP_2011\SAIP2011_Template_MSWord_PMB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75EE-E955-4425-A241-E8321A43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SAIP2011_Template_MSWord_PMBSM</Template>
  <TotalTime>3</TotalTime>
  <Pages>6</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12841</CharactersWithSpaces>
  <SharedDoc>false</SharedDoc>
  <HLinks>
    <vt:vector size="6" baseType="variant">
      <vt:variant>
        <vt:i4>5439539</vt:i4>
      </vt:variant>
      <vt:variant>
        <vt:i4>0</vt:i4>
      </vt:variant>
      <vt:variant>
        <vt:i4>0</vt:i4>
      </vt:variant>
      <vt:variant>
        <vt:i4>5</vt:i4>
      </vt:variant>
      <vt:variant>
        <vt:lpwstr>mailto:bmsondezi@uj.ac.za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pmolefe</dc:creator>
  <cp:keywords>open access, proceedings, template, fast, affordable, flexible</cp:keywords>
  <dc:description/>
  <cp:lastModifiedBy>Mr MOLF</cp:lastModifiedBy>
  <cp:revision>2</cp:revision>
  <cp:lastPrinted>2011-10-12T09:02:00Z</cp:lastPrinted>
  <dcterms:created xsi:type="dcterms:W3CDTF">2014-11-26T03:46:00Z</dcterms:created>
  <dcterms:modified xsi:type="dcterms:W3CDTF">2014-11-26T03:46:00Z</dcterms:modified>
</cp:coreProperties>
</file>